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3954" w14:textId="0736C421" w:rsidR="00432150" w:rsidRDefault="00432150">
      <w:r w:rsidRPr="00432150">
        <w:rPr>
          <w:rFonts w:ascii="Arial" w:hAnsi="Arial" w:cs="Arial"/>
          <w:b/>
          <w:bCs/>
        </w:rPr>
        <w:t>Company Name:</w:t>
      </w:r>
      <w:r>
        <w:t xml:space="preserve">  </w:t>
      </w:r>
      <w:r>
        <w:fldChar w:fldCharType="begin">
          <w:ffData>
            <w:name w:val="Text4"/>
            <w:enabled/>
            <w:calcOnExit w:val="0"/>
            <w:textInput/>
          </w:ffData>
        </w:fldChar>
      </w:r>
      <w:bookmarkStart w:id="0" w:name="Text4"/>
      <w:r>
        <w:instrText xml:space="preserve"> FORMTEXT </w:instrText>
      </w:r>
      <w:r>
        <w:fldChar w:fldCharType="separate"/>
      </w:r>
      <w:r w:rsidR="008E30F8">
        <w:t> </w:t>
      </w:r>
      <w:r w:rsidR="008E30F8">
        <w:t> </w:t>
      </w:r>
      <w:r w:rsidR="008E30F8">
        <w:t> </w:t>
      </w:r>
      <w:r w:rsidR="008E30F8">
        <w:t> </w:t>
      </w:r>
      <w:r w:rsidR="008E30F8">
        <w:t> </w:t>
      </w:r>
      <w:r>
        <w:fldChar w:fldCharType="end"/>
      </w:r>
      <w:bookmarkEnd w:id="0"/>
    </w:p>
    <w:p w14:paraId="45039BA6" w14:textId="1175DD3B" w:rsidR="00432150" w:rsidRPr="00460AEC" w:rsidRDefault="003A0832" w:rsidP="00432150">
      <w:pPr>
        <w:rPr>
          <w:rFonts w:ascii="Arial" w:hAnsi="Arial" w:cs="Arial"/>
          <w:szCs w:val="20"/>
        </w:rPr>
      </w:pPr>
      <w:r>
        <w:rPr>
          <w:rFonts w:ascii="Arial" w:hAnsi="Arial" w:cs="Arial"/>
          <w:szCs w:val="20"/>
        </w:rPr>
        <w:t>If the company has reported IBNR losses, t</w:t>
      </w:r>
      <w:r w:rsidR="003C1FD7">
        <w:rPr>
          <w:rFonts w:ascii="Arial" w:hAnsi="Arial" w:cs="Arial"/>
          <w:szCs w:val="20"/>
        </w:rPr>
        <w:t xml:space="preserve">he company’s certifying actuary must </w:t>
      </w:r>
      <w:r w:rsidR="00432150">
        <w:rPr>
          <w:rFonts w:ascii="Arial" w:hAnsi="Arial" w:cs="Arial"/>
          <w:szCs w:val="20"/>
        </w:rPr>
        <w:t>complete this checklist</w:t>
      </w:r>
      <w:r>
        <w:rPr>
          <w:rFonts w:ascii="Arial" w:hAnsi="Arial" w:cs="Arial"/>
          <w:szCs w:val="20"/>
        </w:rPr>
        <w:t xml:space="preserve"> and it must be uploaded</w:t>
      </w:r>
      <w:r w:rsidR="00432150">
        <w:rPr>
          <w:rFonts w:ascii="Arial" w:hAnsi="Arial" w:cs="Arial"/>
          <w:szCs w:val="20"/>
        </w:rPr>
        <w:t xml:space="preserve"> with </w:t>
      </w:r>
      <w:r w:rsidR="003C1FD7">
        <w:rPr>
          <w:rFonts w:ascii="Arial" w:hAnsi="Arial" w:cs="Arial"/>
          <w:szCs w:val="20"/>
        </w:rPr>
        <w:t>the</w:t>
      </w:r>
      <w:r w:rsidR="00432150">
        <w:rPr>
          <w:rFonts w:ascii="Arial" w:hAnsi="Arial" w:cs="Arial"/>
          <w:szCs w:val="20"/>
        </w:rPr>
        <w:t xml:space="preserve"> final FHCF commutation submission through the </w:t>
      </w:r>
      <w:hyperlink r:id="rId7" w:history="1">
        <w:r w:rsidR="00432150" w:rsidRPr="00F23B16">
          <w:rPr>
            <w:rStyle w:val="Hyperlink"/>
            <w:rFonts w:ascii="Arial" w:hAnsi="Arial" w:cs="Arial"/>
            <w:bCs/>
          </w:rPr>
          <w:t>FHCF Online Claims System</w:t>
        </w:r>
      </w:hyperlink>
      <w:r w:rsidR="00432150">
        <w:rPr>
          <w:rFonts w:ascii="Arial" w:hAnsi="Arial" w:cs="Arial"/>
          <w:szCs w:val="20"/>
        </w:rPr>
        <w:t xml:space="preserve">. </w:t>
      </w:r>
      <w:r w:rsidR="001E1AF7">
        <w:rPr>
          <w:rFonts w:ascii="Arial" w:hAnsi="Arial" w:cs="Arial"/>
          <w:szCs w:val="20"/>
        </w:rPr>
        <w:t>N</w:t>
      </w:r>
      <w:r w:rsidR="00432150" w:rsidRPr="009454E4">
        <w:rPr>
          <w:rFonts w:ascii="Arial" w:hAnsi="Arial" w:cs="Arial"/>
          <w:szCs w:val="20"/>
        </w:rPr>
        <w:t xml:space="preserve">otify the FHCF Administrator at </w:t>
      </w:r>
      <w:hyperlink r:id="rId8" w:history="1">
        <w:r w:rsidR="00432150" w:rsidRPr="009454E4">
          <w:rPr>
            <w:rStyle w:val="Hyperlink"/>
            <w:rFonts w:ascii="Arial" w:hAnsi="Arial" w:cs="Arial"/>
            <w:szCs w:val="32"/>
          </w:rPr>
          <w:t>FHCFAdministrator@paragon.aon.com</w:t>
        </w:r>
      </w:hyperlink>
      <w:r w:rsidR="00432150" w:rsidRPr="009454E4">
        <w:rPr>
          <w:rFonts w:ascii="Arial" w:hAnsi="Arial" w:cs="Arial"/>
          <w:sz w:val="16"/>
        </w:rPr>
        <w:t xml:space="preserve"> </w:t>
      </w:r>
      <w:r w:rsidR="00432150" w:rsidRPr="009454E4">
        <w:rPr>
          <w:rFonts w:ascii="Arial" w:hAnsi="Arial" w:cs="Arial"/>
          <w:szCs w:val="20"/>
        </w:rPr>
        <w:t>when all documentation has been provided</w:t>
      </w:r>
      <w:r w:rsidR="00432150">
        <w:rPr>
          <w:rFonts w:ascii="Arial" w:hAnsi="Arial" w:cs="Arial"/>
          <w:szCs w:val="20"/>
        </w:rPr>
        <w:t>.</w:t>
      </w:r>
      <w:r w:rsidR="00432150" w:rsidRPr="00F4494D">
        <w:rPr>
          <w:rFonts w:ascii="Arial" w:hAnsi="Arial" w:cs="Arial"/>
          <w:i/>
          <w:iCs/>
          <w:szCs w:val="20"/>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280"/>
      </w:tblGrid>
      <w:tr w:rsidR="00432150" w:rsidRPr="00432150" w14:paraId="247967D5" w14:textId="77777777" w:rsidTr="00432150">
        <w:trPr>
          <w:trHeight w:val="661"/>
        </w:trPr>
        <w:tc>
          <w:tcPr>
            <w:tcW w:w="9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357447" w14:textId="77777777" w:rsidR="00432150" w:rsidRPr="00432150" w:rsidRDefault="00432150" w:rsidP="00432150">
            <w:pPr>
              <w:spacing w:before="120" w:after="0" w:line="240" w:lineRule="auto"/>
              <w:rPr>
                <w:rFonts w:ascii="Arial" w:eastAsia="Times New Roman" w:hAnsi="Arial" w:cs="Arial"/>
                <w:b/>
                <w:sz w:val="20"/>
                <w:szCs w:val="20"/>
              </w:rPr>
            </w:pPr>
            <w:r w:rsidRPr="00432150">
              <w:rPr>
                <w:rFonts w:ascii="Arial" w:eastAsia="Times New Roman" w:hAnsi="Arial" w:cs="Arial"/>
                <w:b/>
                <w:sz w:val="28"/>
                <w:szCs w:val="28"/>
              </w:rPr>
              <w:t xml:space="preserve">INCURRED BUT NOT REPORTED (IBNR) LOSSES </w:t>
            </w:r>
            <w:r w:rsidRPr="00432150">
              <w:rPr>
                <w:rFonts w:ascii="Arial" w:eastAsia="Times New Roman" w:hAnsi="Arial" w:cs="Arial"/>
                <w:b/>
                <w:sz w:val="20"/>
                <w:szCs w:val="20"/>
              </w:rPr>
              <w:t>[To be completed by the certifying actuary]</w:t>
            </w:r>
          </w:p>
          <w:p w14:paraId="0EBA847D" w14:textId="422F57F0" w:rsidR="00432150" w:rsidRPr="00432150" w:rsidRDefault="001E1AF7" w:rsidP="00432150">
            <w:pPr>
              <w:spacing w:before="120" w:after="120" w:line="240" w:lineRule="auto"/>
              <w:rPr>
                <w:rFonts w:ascii="Arial" w:eastAsia="Times New Roman" w:hAnsi="Arial" w:cs="Arial"/>
                <w:b/>
                <w:sz w:val="28"/>
                <w:szCs w:val="28"/>
              </w:rPr>
            </w:pPr>
            <w:r>
              <w:rPr>
                <w:rFonts w:ascii="Arial" w:eastAsia="Times New Roman" w:hAnsi="Arial" w:cs="Arial"/>
                <w:bCs/>
                <w:sz w:val="20"/>
                <w:szCs w:val="20"/>
              </w:rPr>
              <w:t>C</w:t>
            </w:r>
            <w:r w:rsidR="003A0832">
              <w:rPr>
                <w:rFonts w:ascii="Arial" w:eastAsia="Times New Roman" w:hAnsi="Arial" w:cs="Arial"/>
                <w:bCs/>
                <w:sz w:val="20"/>
                <w:szCs w:val="20"/>
              </w:rPr>
              <w:t xml:space="preserve">ombine documents into a zip file and </w:t>
            </w:r>
            <w:r w:rsidR="00432150" w:rsidRPr="00432150">
              <w:rPr>
                <w:rFonts w:ascii="Arial" w:eastAsia="Times New Roman" w:hAnsi="Arial" w:cs="Arial"/>
                <w:bCs/>
                <w:sz w:val="20"/>
                <w:szCs w:val="20"/>
              </w:rPr>
              <w:t>upload under “Supporting Documentation.” Each upload must be less than 50MB.</w:t>
            </w:r>
          </w:p>
        </w:tc>
      </w:tr>
      <w:tr w:rsidR="00432150" w:rsidRPr="00432150" w14:paraId="60932F6A" w14:textId="77777777" w:rsidTr="00432150">
        <w:trPr>
          <w:trHeight w:val="429"/>
        </w:trPr>
        <w:tc>
          <w:tcPr>
            <w:tcW w:w="1165" w:type="dxa"/>
            <w:tcBorders>
              <w:top w:val="single" w:sz="4" w:space="0" w:color="auto"/>
              <w:left w:val="single" w:sz="4" w:space="0" w:color="auto"/>
              <w:bottom w:val="single" w:sz="4" w:space="0" w:color="auto"/>
              <w:right w:val="single" w:sz="4" w:space="0" w:color="auto"/>
            </w:tcBorders>
            <w:vAlign w:val="center"/>
          </w:tcPr>
          <w:p w14:paraId="60912799" w14:textId="77777777" w:rsidR="00432150" w:rsidRPr="00432150" w:rsidRDefault="00432150" w:rsidP="00432150">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Included</w:t>
            </w:r>
          </w:p>
        </w:tc>
        <w:tc>
          <w:tcPr>
            <w:tcW w:w="8280" w:type="dxa"/>
            <w:tcBorders>
              <w:top w:val="single" w:sz="4" w:space="0" w:color="auto"/>
              <w:left w:val="single" w:sz="4" w:space="0" w:color="auto"/>
              <w:bottom w:val="single" w:sz="4" w:space="0" w:color="auto"/>
              <w:right w:val="single" w:sz="4" w:space="0" w:color="auto"/>
            </w:tcBorders>
            <w:vAlign w:val="center"/>
          </w:tcPr>
          <w:p w14:paraId="3BA914E3" w14:textId="17097327" w:rsidR="00432150" w:rsidRPr="00432150" w:rsidRDefault="00432150" w:rsidP="00432150">
            <w:pPr>
              <w:spacing w:after="0" w:line="240" w:lineRule="auto"/>
              <w:jc w:val="center"/>
              <w:rPr>
                <w:rFonts w:ascii="Arial" w:eastAsia="Times New Roman" w:hAnsi="Arial" w:cs="Arial"/>
                <w:bCs/>
              </w:rPr>
            </w:pPr>
          </w:p>
        </w:tc>
      </w:tr>
      <w:tr w:rsidR="00432150" w:rsidRPr="00432150" w14:paraId="2252254C" w14:textId="77777777" w:rsidTr="00432150">
        <w:trPr>
          <w:trHeight w:val="1171"/>
        </w:trPr>
        <w:tc>
          <w:tcPr>
            <w:tcW w:w="1165" w:type="dxa"/>
            <w:tcBorders>
              <w:top w:val="single" w:sz="4" w:space="0" w:color="auto"/>
              <w:left w:val="single" w:sz="4" w:space="0" w:color="auto"/>
              <w:bottom w:val="single" w:sz="4" w:space="0" w:color="auto"/>
              <w:right w:val="single" w:sz="4" w:space="0" w:color="auto"/>
            </w:tcBorders>
          </w:tcPr>
          <w:p w14:paraId="098EE561" w14:textId="77777777" w:rsidR="00432150" w:rsidRPr="00432150" w:rsidRDefault="00432150" w:rsidP="00432150">
            <w:pPr>
              <w:spacing w:before="120" w:after="0" w:line="240" w:lineRule="auto"/>
              <w:jc w:val="center"/>
              <w:rPr>
                <w:rFonts w:ascii="Arial" w:eastAsia="Times New Roman" w:hAnsi="Arial" w:cs="Arial"/>
                <w:bCs/>
                <w:sz w:val="20"/>
                <w:szCs w:val="20"/>
              </w:rPr>
            </w:pPr>
            <w:r w:rsidRPr="00432150">
              <w:rPr>
                <w:rFonts w:ascii="Arial" w:eastAsia="Times New Roman" w:hAnsi="Arial" w:cs="Arial"/>
                <w:sz w:val="20"/>
                <w:szCs w:val="20"/>
              </w:rPr>
              <w:fldChar w:fldCharType="begin">
                <w:ffData>
                  <w:name w:val="Check3"/>
                  <w:enabled/>
                  <w:calcOnExit w:val="0"/>
                  <w:checkBox>
                    <w:sizeAuto/>
                    <w:default w:val="0"/>
                    <w:checked w:val="0"/>
                  </w:checkBox>
                </w:ffData>
              </w:fldChar>
            </w:r>
            <w:r w:rsidRPr="00432150">
              <w:rPr>
                <w:rFonts w:ascii="Arial" w:eastAsia="Times New Roman" w:hAnsi="Arial" w:cs="Arial"/>
                <w:sz w:val="20"/>
                <w:szCs w:val="20"/>
              </w:rPr>
              <w:instrText xml:space="preserve"> FORMCHECKBOX </w:instrText>
            </w:r>
            <w:r w:rsidR="001D3984">
              <w:rPr>
                <w:rFonts w:ascii="Arial" w:eastAsia="Times New Roman" w:hAnsi="Arial" w:cs="Arial"/>
                <w:sz w:val="20"/>
                <w:szCs w:val="20"/>
              </w:rPr>
            </w:r>
            <w:r w:rsidR="001D3984">
              <w:rPr>
                <w:rFonts w:ascii="Arial" w:eastAsia="Times New Roman" w:hAnsi="Arial" w:cs="Arial"/>
                <w:sz w:val="20"/>
                <w:szCs w:val="20"/>
              </w:rPr>
              <w:fldChar w:fldCharType="separate"/>
            </w:r>
            <w:r w:rsidRPr="00432150">
              <w:rPr>
                <w:rFonts w:ascii="Arial" w:eastAsia="Times New Roman" w:hAnsi="Arial" w:cs="Arial"/>
                <w:sz w:val="20"/>
                <w:szCs w:val="20"/>
              </w:rPr>
              <w:fldChar w:fldCharType="end"/>
            </w:r>
          </w:p>
        </w:tc>
        <w:tc>
          <w:tcPr>
            <w:tcW w:w="8280" w:type="dxa"/>
            <w:tcBorders>
              <w:top w:val="single" w:sz="4" w:space="0" w:color="auto"/>
              <w:left w:val="single" w:sz="4" w:space="0" w:color="auto"/>
              <w:bottom w:val="single" w:sz="4" w:space="0" w:color="auto"/>
              <w:right w:val="single" w:sz="4" w:space="0" w:color="auto"/>
            </w:tcBorders>
          </w:tcPr>
          <w:p w14:paraId="4A0274FB" w14:textId="77777777" w:rsidR="00432150" w:rsidRPr="00432150" w:rsidRDefault="00432150" w:rsidP="00432150">
            <w:pPr>
              <w:spacing w:before="120" w:after="0" w:line="240" w:lineRule="auto"/>
              <w:rPr>
                <w:rFonts w:ascii="Arial" w:eastAsia="Times New Roman" w:hAnsi="Arial" w:cs="Arial"/>
                <w:bCs/>
              </w:rPr>
            </w:pPr>
            <w:r w:rsidRPr="00432150">
              <w:rPr>
                <w:rFonts w:ascii="Arial" w:eastAsia="Times New Roman" w:hAnsi="Arial" w:cs="Arial"/>
                <w:bCs/>
              </w:rPr>
              <w:t>A signed and dated opinion on the capitalized (present) value of the IBNR losses from a company actuary or your company’s actuarial consultant, which includes:</w:t>
            </w:r>
          </w:p>
          <w:p w14:paraId="5B4EAA9B" w14:textId="77777777" w:rsidR="00432150" w:rsidRPr="00432150" w:rsidRDefault="00432150" w:rsidP="00432150">
            <w:pPr>
              <w:numPr>
                <w:ilvl w:val="0"/>
                <w:numId w:val="2"/>
              </w:numPr>
              <w:spacing w:before="120" w:after="120" w:line="240" w:lineRule="auto"/>
              <w:ind w:left="1152"/>
              <w:contextualSpacing/>
              <w:rPr>
                <w:rFonts w:ascii="Arial" w:eastAsia="Times New Roman" w:hAnsi="Arial" w:cs="Arial"/>
                <w:bCs/>
              </w:rPr>
            </w:pPr>
            <w:r w:rsidRPr="00432150">
              <w:rPr>
                <w:rFonts w:ascii="Arial" w:eastAsia="Times New Roman" w:hAnsi="Arial" w:cs="Arial"/>
                <w:bCs/>
              </w:rPr>
              <w:t>A recommendation on the discount rate(s) to be used</w:t>
            </w:r>
          </w:p>
          <w:p w14:paraId="73F3EBF3" w14:textId="77777777" w:rsidR="00432150" w:rsidRPr="00432150" w:rsidRDefault="00432150" w:rsidP="00432150">
            <w:pPr>
              <w:numPr>
                <w:ilvl w:val="0"/>
                <w:numId w:val="2"/>
              </w:numPr>
              <w:spacing w:before="120" w:after="120" w:line="240" w:lineRule="auto"/>
              <w:ind w:left="1152"/>
              <w:contextualSpacing/>
              <w:rPr>
                <w:rFonts w:ascii="Arial" w:eastAsia="Times New Roman" w:hAnsi="Arial" w:cs="Arial"/>
                <w:bCs/>
              </w:rPr>
            </w:pPr>
            <w:r w:rsidRPr="00432150">
              <w:rPr>
                <w:rFonts w:ascii="Arial" w:eastAsia="Times New Roman" w:hAnsi="Arial" w:cs="Arial"/>
                <w:bCs/>
              </w:rPr>
              <w:t>A discounted value of the proposed commuted IBNR</w:t>
            </w:r>
          </w:p>
          <w:p w14:paraId="6FAFBBD7" w14:textId="77777777" w:rsidR="00432150" w:rsidRPr="00432150" w:rsidRDefault="00432150" w:rsidP="00432150">
            <w:pPr>
              <w:numPr>
                <w:ilvl w:val="0"/>
                <w:numId w:val="2"/>
              </w:numPr>
              <w:spacing w:before="120" w:after="120" w:line="240" w:lineRule="auto"/>
              <w:ind w:left="1152"/>
              <w:contextualSpacing/>
              <w:rPr>
                <w:rFonts w:ascii="Arial" w:eastAsia="Times New Roman" w:hAnsi="Arial" w:cs="Arial"/>
                <w:bCs/>
              </w:rPr>
            </w:pPr>
            <w:r w:rsidRPr="00432150">
              <w:rPr>
                <w:rFonts w:ascii="Arial" w:eastAsia="Times New Roman" w:hAnsi="Arial" w:cs="Arial"/>
                <w:bCs/>
              </w:rPr>
              <w:t xml:space="preserve">The dollar value of the discount </w:t>
            </w:r>
          </w:p>
          <w:p w14:paraId="43C61CF8" w14:textId="7A920769" w:rsidR="00432150" w:rsidRPr="00432150" w:rsidRDefault="00432150" w:rsidP="00432150">
            <w:pPr>
              <w:spacing w:before="240" w:after="120" w:line="240" w:lineRule="auto"/>
              <w:rPr>
                <w:rFonts w:ascii="Times New Roman" w:eastAsia="Times New Roman" w:hAnsi="Times New Roman" w:cs="Times New Roman"/>
                <w:bCs/>
                <w:i/>
                <w:iCs/>
                <w:highlight w:val="yellow"/>
              </w:rPr>
            </w:pPr>
            <w:r w:rsidRPr="00432150">
              <w:rPr>
                <w:rFonts w:ascii="Arial" w:eastAsia="Times New Roman" w:hAnsi="Arial" w:cs="Arial"/>
                <w:bCs/>
              </w:rPr>
              <w:t xml:space="preserve">Document name: </w:t>
            </w:r>
            <w:r w:rsidRPr="00432150">
              <w:rPr>
                <w:rFonts w:ascii="Arial" w:eastAsia="Times New Roman" w:hAnsi="Arial" w:cs="Arial"/>
              </w:rPr>
              <w:fldChar w:fldCharType="begin">
                <w:ffData>
                  <w:name w:val="Text2"/>
                  <w:enabled/>
                  <w:calcOnExit w:val="0"/>
                  <w:textInput/>
                </w:ffData>
              </w:fldChar>
            </w:r>
            <w:r w:rsidRPr="00432150">
              <w:rPr>
                <w:rFonts w:ascii="Arial" w:eastAsia="Times New Roman" w:hAnsi="Arial" w:cs="Arial"/>
              </w:rPr>
              <w:instrText xml:space="preserve"> FORMTEXT </w:instrText>
            </w:r>
            <w:r w:rsidRPr="00432150">
              <w:rPr>
                <w:rFonts w:ascii="Arial" w:eastAsia="Times New Roman" w:hAnsi="Arial" w:cs="Arial"/>
              </w:rPr>
            </w:r>
            <w:r w:rsidRPr="00432150">
              <w:rPr>
                <w:rFonts w:ascii="Arial" w:eastAsia="Times New Roman" w:hAnsi="Arial" w:cs="Arial"/>
              </w:rPr>
              <w:fldChar w:fldCharType="separate"/>
            </w:r>
            <w:r w:rsidR="008E30F8">
              <w:rPr>
                <w:rFonts w:ascii="Arial" w:eastAsia="Times New Roman" w:hAnsi="Arial" w:cs="Arial"/>
              </w:rPr>
              <w:t> </w:t>
            </w:r>
            <w:r w:rsidR="008E30F8">
              <w:rPr>
                <w:rFonts w:ascii="Arial" w:eastAsia="Times New Roman" w:hAnsi="Arial" w:cs="Arial"/>
              </w:rPr>
              <w:t> </w:t>
            </w:r>
            <w:r w:rsidR="008E30F8">
              <w:rPr>
                <w:rFonts w:ascii="Arial" w:eastAsia="Times New Roman" w:hAnsi="Arial" w:cs="Arial"/>
              </w:rPr>
              <w:t> </w:t>
            </w:r>
            <w:r w:rsidR="008E30F8">
              <w:rPr>
                <w:rFonts w:ascii="Arial" w:eastAsia="Times New Roman" w:hAnsi="Arial" w:cs="Arial"/>
              </w:rPr>
              <w:t> </w:t>
            </w:r>
            <w:r w:rsidR="008E30F8">
              <w:rPr>
                <w:rFonts w:ascii="Arial" w:eastAsia="Times New Roman" w:hAnsi="Arial" w:cs="Arial"/>
              </w:rPr>
              <w:t> </w:t>
            </w:r>
            <w:r w:rsidRPr="00432150">
              <w:rPr>
                <w:rFonts w:ascii="Arial" w:eastAsia="Times New Roman" w:hAnsi="Arial" w:cs="Arial"/>
              </w:rPr>
              <w:fldChar w:fldCharType="end"/>
            </w:r>
          </w:p>
        </w:tc>
      </w:tr>
      <w:tr w:rsidR="00432150" w:rsidRPr="00432150" w14:paraId="3901E60E" w14:textId="77777777" w:rsidTr="00432150">
        <w:trPr>
          <w:trHeight w:val="509"/>
        </w:trPr>
        <w:tc>
          <w:tcPr>
            <w:tcW w:w="9445" w:type="dxa"/>
            <w:gridSpan w:val="2"/>
            <w:tcBorders>
              <w:top w:val="single" w:sz="4" w:space="0" w:color="auto"/>
              <w:left w:val="single" w:sz="4" w:space="0" w:color="auto"/>
              <w:bottom w:val="single" w:sz="4" w:space="0" w:color="auto"/>
              <w:right w:val="single" w:sz="4" w:space="0" w:color="auto"/>
            </w:tcBorders>
          </w:tcPr>
          <w:p w14:paraId="446D87DC" w14:textId="77777777" w:rsidR="00432150" w:rsidRPr="00432150" w:rsidRDefault="00432150" w:rsidP="00432150">
            <w:pPr>
              <w:spacing w:before="120" w:after="0" w:line="240" w:lineRule="auto"/>
              <w:rPr>
                <w:rFonts w:ascii="Arial" w:eastAsia="Times New Roman" w:hAnsi="Arial" w:cs="Arial"/>
                <w:bCs/>
              </w:rPr>
            </w:pPr>
            <w:r w:rsidRPr="00432150">
              <w:rPr>
                <w:rFonts w:ascii="Arial" w:eastAsia="Times New Roman" w:hAnsi="Arial" w:cs="Arial"/>
                <w:b/>
                <w:i/>
                <w:iCs/>
              </w:rPr>
              <w:t>Please confirm that the following information is included in the opinion:</w:t>
            </w:r>
          </w:p>
        </w:tc>
      </w:tr>
      <w:tr w:rsidR="00432150" w:rsidRPr="00432150" w14:paraId="195EBC8E" w14:textId="77777777" w:rsidTr="00432150">
        <w:trPr>
          <w:trHeight w:val="473"/>
        </w:trPr>
        <w:tc>
          <w:tcPr>
            <w:tcW w:w="1165" w:type="dxa"/>
            <w:tcBorders>
              <w:top w:val="single" w:sz="4" w:space="0" w:color="auto"/>
              <w:left w:val="single" w:sz="4" w:space="0" w:color="auto"/>
              <w:bottom w:val="single" w:sz="4" w:space="0" w:color="auto"/>
              <w:right w:val="single" w:sz="4" w:space="0" w:color="auto"/>
            </w:tcBorders>
          </w:tcPr>
          <w:p w14:paraId="18E3667A" w14:textId="7A201749"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20"/>
                <w:szCs w:val="20"/>
              </w:rPr>
              <w:fldChar w:fldCharType="begin">
                <w:ffData>
                  <w:name w:val="Check3"/>
                  <w:enabled/>
                  <w:calcOnExit w:val="0"/>
                  <w:checkBox>
                    <w:sizeAuto/>
                    <w:default w:val="0"/>
                    <w:checked w:val="0"/>
                  </w:checkBox>
                </w:ffData>
              </w:fldChar>
            </w:r>
            <w:r w:rsidRPr="00432150">
              <w:rPr>
                <w:rFonts w:ascii="Arial" w:eastAsia="Times New Roman" w:hAnsi="Arial" w:cs="Arial"/>
                <w:sz w:val="20"/>
                <w:szCs w:val="20"/>
              </w:rPr>
              <w:instrText xml:space="preserve"> FORMCHECKBOX </w:instrText>
            </w:r>
            <w:r w:rsidR="001D3984">
              <w:rPr>
                <w:rFonts w:ascii="Arial" w:eastAsia="Times New Roman" w:hAnsi="Arial" w:cs="Arial"/>
                <w:sz w:val="20"/>
                <w:szCs w:val="20"/>
              </w:rPr>
            </w:r>
            <w:r w:rsidR="001D3984">
              <w:rPr>
                <w:rFonts w:ascii="Arial" w:eastAsia="Times New Roman" w:hAnsi="Arial" w:cs="Arial"/>
                <w:sz w:val="20"/>
                <w:szCs w:val="20"/>
              </w:rPr>
              <w:fldChar w:fldCharType="separate"/>
            </w:r>
            <w:r w:rsidRPr="00432150">
              <w:rPr>
                <w:rFonts w:ascii="Arial" w:eastAsia="Times New Roman" w:hAnsi="Arial" w:cs="Arial"/>
                <w:sz w:val="20"/>
                <w:szCs w:val="20"/>
              </w:rPr>
              <w:fldChar w:fldCharType="end"/>
            </w:r>
          </w:p>
        </w:tc>
        <w:tc>
          <w:tcPr>
            <w:tcW w:w="8280" w:type="dxa"/>
            <w:tcBorders>
              <w:top w:val="single" w:sz="4" w:space="0" w:color="auto"/>
              <w:left w:val="single" w:sz="4" w:space="0" w:color="auto"/>
              <w:bottom w:val="single" w:sz="4" w:space="0" w:color="auto"/>
              <w:right w:val="single" w:sz="4" w:space="0" w:color="auto"/>
            </w:tcBorders>
          </w:tcPr>
          <w:p w14:paraId="66DF236B" w14:textId="7E8D64D7" w:rsidR="00432150" w:rsidRPr="00432150" w:rsidRDefault="00432150" w:rsidP="00432150">
            <w:pPr>
              <w:numPr>
                <w:ilvl w:val="0"/>
                <w:numId w:val="1"/>
              </w:numPr>
              <w:spacing w:before="120" w:after="0" w:line="240" w:lineRule="auto"/>
              <w:ind w:left="432" w:hanging="252"/>
              <w:contextualSpacing/>
              <w:rPr>
                <w:rFonts w:ascii="Arial" w:eastAsia="Times New Roman" w:hAnsi="Arial" w:cs="Arial"/>
                <w:bCs/>
              </w:rPr>
            </w:pPr>
            <w:r w:rsidRPr="00432150">
              <w:rPr>
                <w:rFonts w:ascii="Arial" w:eastAsia="Times New Roman" w:hAnsi="Arial" w:cs="Arial"/>
                <w:bCs/>
              </w:rPr>
              <w:t xml:space="preserve">Actuary’s </w:t>
            </w:r>
            <w:r w:rsidR="001C4620">
              <w:rPr>
                <w:rFonts w:ascii="Arial" w:eastAsia="Times New Roman" w:hAnsi="Arial" w:cs="Arial"/>
                <w:bCs/>
              </w:rPr>
              <w:t xml:space="preserve">statement of </w:t>
            </w:r>
            <w:r w:rsidRPr="00432150">
              <w:rPr>
                <w:rFonts w:ascii="Arial" w:eastAsia="Times New Roman" w:hAnsi="Arial" w:cs="Arial"/>
                <w:bCs/>
              </w:rPr>
              <w:t>qualifications to produce the opinion.</w:t>
            </w:r>
          </w:p>
        </w:tc>
      </w:tr>
      <w:tr w:rsidR="00432150" w:rsidRPr="00432150" w14:paraId="73BC1A70" w14:textId="77777777" w:rsidTr="001D3984">
        <w:trPr>
          <w:trHeight w:val="728"/>
        </w:trPr>
        <w:tc>
          <w:tcPr>
            <w:tcW w:w="1165" w:type="dxa"/>
            <w:tcBorders>
              <w:top w:val="single" w:sz="4" w:space="0" w:color="auto"/>
              <w:left w:val="single" w:sz="4" w:space="0" w:color="auto"/>
              <w:bottom w:val="single" w:sz="4" w:space="0" w:color="auto"/>
              <w:right w:val="single" w:sz="4" w:space="0" w:color="auto"/>
            </w:tcBorders>
          </w:tcPr>
          <w:p w14:paraId="627450A7" w14:textId="6AB72476"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20"/>
                <w:szCs w:val="20"/>
              </w:rPr>
              <w:fldChar w:fldCharType="begin">
                <w:ffData>
                  <w:name w:val="Check3"/>
                  <w:enabled/>
                  <w:calcOnExit w:val="0"/>
                  <w:checkBox>
                    <w:sizeAuto/>
                    <w:default w:val="0"/>
                    <w:checked w:val="0"/>
                  </w:checkBox>
                </w:ffData>
              </w:fldChar>
            </w:r>
            <w:r w:rsidRPr="00432150">
              <w:rPr>
                <w:rFonts w:ascii="Arial" w:eastAsia="Times New Roman" w:hAnsi="Arial" w:cs="Arial"/>
                <w:sz w:val="20"/>
                <w:szCs w:val="20"/>
              </w:rPr>
              <w:instrText xml:space="preserve"> FORMCHECKBOX </w:instrText>
            </w:r>
            <w:r w:rsidR="001D3984">
              <w:rPr>
                <w:rFonts w:ascii="Arial" w:eastAsia="Times New Roman" w:hAnsi="Arial" w:cs="Arial"/>
                <w:sz w:val="20"/>
                <w:szCs w:val="20"/>
              </w:rPr>
            </w:r>
            <w:r w:rsidR="001D3984">
              <w:rPr>
                <w:rFonts w:ascii="Arial" w:eastAsia="Times New Roman" w:hAnsi="Arial" w:cs="Arial"/>
                <w:sz w:val="20"/>
                <w:szCs w:val="20"/>
              </w:rPr>
              <w:fldChar w:fldCharType="separate"/>
            </w:r>
            <w:r w:rsidRPr="00432150">
              <w:rPr>
                <w:rFonts w:ascii="Arial" w:eastAsia="Times New Roman" w:hAnsi="Arial" w:cs="Arial"/>
                <w:sz w:val="20"/>
                <w:szCs w:val="20"/>
              </w:rPr>
              <w:fldChar w:fldCharType="end"/>
            </w:r>
          </w:p>
        </w:tc>
        <w:tc>
          <w:tcPr>
            <w:tcW w:w="8280" w:type="dxa"/>
            <w:tcBorders>
              <w:top w:val="single" w:sz="4" w:space="0" w:color="auto"/>
              <w:left w:val="single" w:sz="4" w:space="0" w:color="auto"/>
              <w:bottom w:val="single" w:sz="4" w:space="0" w:color="auto"/>
              <w:right w:val="single" w:sz="4" w:space="0" w:color="auto"/>
            </w:tcBorders>
          </w:tcPr>
          <w:p w14:paraId="2346F1EF" w14:textId="77777777" w:rsidR="00432150" w:rsidRPr="00432150" w:rsidRDefault="00432150" w:rsidP="00432150">
            <w:pPr>
              <w:numPr>
                <w:ilvl w:val="0"/>
                <w:numId w:val="1"/>
              </w:numPr>
              <w:spacing w:before="120" w:after="0" w:line="240" w:lineRule="auto"/>
              <w:ind w:left="432" w:hanging="252"/>
              <w:contextualSpacing/>
              <w:rPr>
                <w:rFonts w:ascii="Arial" w:eastAsia="Times New Roman" w:hAnsi="Arial" w:cs="Arial"/>
                <w:bCs/>
              </w:rPr>
            </w:pPr>
            <w:r w:rsidRPr="00432150">
              <w:rPr>
                <w:rFonts w:ascii="Arial" w:eastAsia="Times New Roman" w:hAnsi="Arial" w:cs="Arial"/>
                <w:bCs/>
              </w:rPr>
              <w:t>A projected payout pattern for the reported IBNR (and case reserves, if applicable).</w:t>
            </w:r>
          </w:p>
        </w:tc>
      </w:tr>
      <w:tr w:rsidR="00432150" w:rsidRPr="00432150" w14:paraId="7732F2D7" w14:textId="77777777" w:rsidTr="00432150">
        <w:trPr>
          <w:trHeight w:val="473"/>
        </w:trPr>
        <w:tc>
          <w:tcPr>
            <w:tcW w:w="1165" w:type="dxa"/>
            <w:tcBorders>
              <w:top w:val="single" w:sz="4" w:space="0" w:color="auto"/>
              <w:left w:val="single" w:sz="4" w:space="0" w:color="auto"/>
              <w:bottom w:val="single" w:sz="4" w:space="0" w:color="auto"/>
              <w:right w:val="single" w:sz="4" w:space="0" w:color="auto"/>
            </w:tcBorders>
          </w:tcPr>
          <w:p w14:paraId="124F38DF" w14:textId="0D3DD6AD"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20"/>
                <w:szCs w:val="20"/>
              </w:rPr>
              <w:fldChar w:fldCharType="begin">
                <w:ffData>
                  <w:name w:val="Check3"/>
                  <w:enabled/>
                  <w:calcOnExit w:val="0"/>
                  <w:checkBox>
                    <w:sizeAuto/>
                    <w:default w:val="0"/>
                    <w:checked w:val="0"/>
                  </w:checkBox>
                </w:ffData>
              </w:fldChar>
            </w:r>
            <w:r w:rsidRPr="00432150">
              <w:rPr>
                <w:rFonts w:ascii="Arial" w:eastAsia="Times New Roman" w:hAnsi="Arial" w:cs="Arial"/>
                <w:sz w:val="20"/>
                <w:szCs w:val="20"/>
              </w:rPr>
              <w:instrText xml:space="preserve"> FORMCHECKBOX </w:instrText>
            </w:r>
            <w:r w:rsidR="001D3984">
              <w:rPr>
                <w:rFonts w:ascii="Arial" w:eastAsia="Times New Roman" w:hAnsi="Arial" w:cs="Arial"/>
                <w:sz w:val="20"/>
                <w:szCs w:val="20"/>
              </w:rPr>
            </w:r>
            <w:r w:rsidR="001D3984">
              <w:rPr>
                <w:rFonts w:ascii="Arial" w:eastAsia="Times New Roman" w:hAnsi="Arial" w:cs="Arial"/>
                <w:sz w:val="20"/>
                <w:szCs w:val="20"/>
              </w:rPr>
              <w:fldChar w:fldCharType="separate"/>
            </w:r>
            <w:r w:rsidRPr="00432150">
              <w:rPr>
                <w:rFonts w:ascii="Arial" w:eastAsia="Times New Roman" w:hAnsi="Arial" w:cs="Arial"/>
                <w:sz w:val="20"/>
                <w:szCs w:val="20"/>
              </w:rPr>
              <w:fldChar w:fldCharType="end"/>
            </w:r>
          </w:p>
        </w:tc>
        <w:tc>
          <w:tcPr>
            <w:tcW w:w="8280" w:type="dxa"/>
            <w:tcBorders>
              <w:top w:val="single" w:sz="4" w:space="0" w:color="auto"/>
              <w:left w:val="single" w:sz="4" w:space="0" w:color="auto"/>
              <w:bottom w:val="single" w:sz="4" w:space="0" w:color="auto"/>
              <w:right w:val="single" w:sz="4" w:space="0" w:color="auto"/>
            </w:tcBorders>
          </w:tcPr>
          <w:p w14:paraId="044571FF" w14:textId="77777777" w:rsidR="00432150" w:rsidRPr="00432150" w:rsidRDefault="00432150" w:rsidP="00432150">
            <w:pPr>
              <w:numPr>
                <w:ilvl w:val="0"/>
                <w:numId w:val="1"/>
              </w:numPr>
              <w:spacing w:before="120" w:after="0" w:line="240" w:lineRule="auto"/>
              <w:ind w:left="432" w:hanging="252"/>
              <w:contextualSpacing/>
              <w:rPr>
                <w:rFonts w:ascii="Arial" w:eastAsia="Times New Roman" w:hAnsi="Arial" w:cs="Arial"/>
                <w:bCs/>
              </w:rPr>
            </w:pPr>
            <w:r w:rsidRPr="00432150">
              <w:rPr>
                <w:rFonts w:ascii="Arial" w:eastAsia="Times New Roman" w:hAnsi="Arial" w:cs="Arial"/>
                <w:bCs/>
              </w:rPr>
              <w:t>All supporting exhibits have been provided in Excel with verifiable formulas.</w:t>
            </w:r>
          </w:p>
        </w:tc>
      </w:tr>
      <w:tr w:rsidR="00432150" w:rsidRPr="00432150" w14:paraId="4826BB8E" w14:textId="77777777" w:rsidTr="001D3984">
        <w:trPr>
          <w:trHeight w:val="1133"/>
        </w:trPr>
        <w:tc>
          <w:tcPr>
            <w:tcW w:w="1165" w:type="dxa"/>
            <w:tcBorders>
              <w:top w:val="single" w:sz="4" w:space="0" w:color="auto"/>
              <w:left w:val="single" w:sz="4" w:space="0" w:color="auto"/>
              <w:bottom w:val="single" w:sz="4" w:space="0" w:color="auto"/>
              <w:right w:val="single" w:sz="4" w:space="0" w:color="auto"/>
            </w:tcBorders>
          </w:tcPr>
          <w:p w14:paraId="789B0C93" w14:textId="11E6F605"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20"/>
                <w:szCs w:val="20"/>
              </w:rPr>
              <w:fldChar w:fldCharType="begin">
                <w:ffData>
                  <w:name w:val="Check3"/>
                  <w:enabled/>
                  <w:calcOnExit w:val="0"/>
                  <w:checkBox>
                    <w:sizeAuto/>
                    <w:default w:val="0"/>
                    <w:checked w:val="0"/>
                  </w:checkBox>
                </w:ffData>
              </w:fldChar>
            </w:r>
            <w:r w:rsidRPr="00432150">
              <w:rPr>
                <w:rFonts w:ascii="Arial" w:eastAsia="Times New Roman" w:hAnsi="Arial" w:cs="Arial"/>
                <w:sz w:val="20"/>
                <w:szCs w:val="20"/>
              </w:rPr>
              <w:instrText xml:space="preserve"> FORMCHECKBOX </w:instrText>
            </w:r>
            <w:r w:rsidR="001D3984">
              <w:rPr>
                <w:rFonts w:ascii="Arial" w:eastAsia="Times New Roman" w:hAnsi="Arial" w:cs="Arial"/>
                <w:sz w:val="20"/>
                <w:szCs w:val="20"/>
              </w:rPr>
            </w:r>
            <w:r w:rsidR="001D3984">
              <w:rPr>
                <w:rFonts w:ascii="Arial" w:eastAsia="Times New Roman" w:hAnsi="Arial" w:cs="Arial"/>
                <w:sz w:val="20"/>
                <w:szCs w:val="20"/>
              </w:rPr>
              <w:fldChar w:fldCharType="separate"/>
            </w:r>
            <w:r w:rsidRPr="00432150">
              <w:rPr>
                <w:rFonts w:ascii="Arial" w:eastAsia="Times New Roman" w:hAnsi="Arial" w:cs="Arial"/>
                <w:sz w:val="20"/>
                <w:szCs w:val="20"/>
              </w:rPr>
              <w:fldChar w:fldCharType="end"/>
            </w:r>
          </w:p>
        </w:tc>
        <w:tc>
          <w:tcPr>
            <w:tcW w:w="8280" w:type="dxa"/>
            <w:tcBorders>
              <w:top w:val="single" w:sz="4" w:space="0" w:color="auto"/>
              <w:left w:val="single" w:sz="4" w:space="0" w:color="auto"/>
              <w:bottom w:val="single" w:sz="4" w:space="0" w:color="auto"/>
              <w:right w:val="single" w:sz="4" w:space="0" w:color="auto"/>
            </w:tcBorders>
          </w:tcPr>
          <w:p w14:paraId="6F3E67F3" w14:textId="77777777" w:rsidR="00432150" w:rsidRPr="00432150" w:rsidRDefault="00432150" w:rsidP="00432150">
            <w:pPr>
              <w:numPr>
                <w:ilvl w:val="0"/>
                <w:numId w:val="1"/>
              </w:numPr>
              <w:spacing w:before="120" w:after="120" w:line="240" w:lineRule="auto"/>
              <w:ind w:left="432" w:hanging="274"/>
              <w:contextualSpacing/>
              <w:rPr>
                <w:rFonts w:ascii="Arial" w:eastAsia="Times New Roman" w:hAnsi="Arial" w:cs="Arial"/>
                <w:bCs/>
              </w:rPr>
            </w:pPr>
            <w:r w:rsidRPr="00432150">
              <w:rPr>
                <w:rFonts w:ascii="Arial" w:eastAsia="Times New Roman" w:hAnsi="Arial" w:cs="Arial"/>
                <w:bCs/>
              </w:rPr>
              <w:t>A description of the methodology used, including applicable derivation calculations and underlying sources of data used in the assumptions must be provided (examples of assumptions include projected counts, projected averages, projected dollars, curve selections, and curve parameters).</w:t>
            </w:r>
          </w:p>
        </w:tc>
      </w:tr>
      <w:tr w:rsidR="00432150" w:rsidRPr="00432150" w14:paraId="76DB105B" w14:textId="77777777" w:rsidTr="00432150">
        <w:trPr>
          <w:trHeight w:val="473"/>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0F60E2E" w14:textId="7AD89A59" w:rsidR="00432150" w:rsidRPr="00432150" w:rsidRDefault="00432150" w:rsidP="00432150">
            <w:pPr>
              <w:spacing w:after="0" w:line="240" w:lineRule="auto"/>
              <w:jc w:val="center"/>
              <w:rPr>
                <w:rFonts w:ascii="Arial" w:eastAsia="Times New Roman" w:hAnsi="Arial" w:cs="Arial"/>
                <w:sz w:val="32"/>
                <w:szCs w:val="32"/>
              </w:rPr>
            </w:pPr>
            <w:r w:rsidRPr="00432150">
              <w:rPr>
                <w:rFonts w:ascii="Arial" w:eastAsia="Times New Roman" w:hAnsi="Arial" w:cs="Arial"/>
                <w:sz w:val="32"/>
                <w:szCs w:val="32"/>
              </w:rPr>
              <w:object w:dxaOrig="225" w:dyaOrig="225" w14:anchorId="27383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30pt" o:ole="">
                  <v:imagedata r:id="rId9" o:title=""/>
                </v:shape>
                <w:control r:id="rId10" w:name="OptionButton1" w:shapeid="_x0000_i1037"/>
              </w:object>
            </w:r>
          </w:p>
          <w:p w14:paraId="4A8ABB26" w14:textId="77777777" w:rsidR="00432150" w:rsidRPr="00432150" w:rsidRDefault="00432150" w:rsidP="00432150">
            <w:pPr>
              <w:spacing w:before="120" w:after="0" w:line="240" w:lineRule="auto"/>
              <w:jc w:val="center"/>
              <w:rPr>
                <w:rFonts w:ascii="Arial" w:eastAsia="Times New Roman" w:hAnsi="Arial" w:cs="Arial"/>
                <w:sz w:val="20"/>
                <w:szCs w:val="20"/>
              </w:rPr>
            </w:pPr>
          </w:p>
          <w:p w14:paraId="473A82BC" w14:textId="77777777" w:rsidR="00432150" w:rsidRPr="00432150" w:rsidRDefault="00432150" w:rsidP="00432150">
            <w:pPr>
              <w:spacing w:before="120" w:after="0" w:line="240" w:lineRule="auto"/>
              <w:jc w:val="center"/>
              <w:rPr>
                <w:rFonts w:ascii="Arial" w:eastAsia="Times New Roman" w:hAnsi="Arial" w:cs="Arial"/>
                <w:sz w:val="36"/>
                <w:szCs w:val="36"/>
              </w:rPr>
            </w:pPr>
          </w:p>
          <w:p w14:paraId="2AB64FA6" w14:textId="77777777" w:rsidR="00432150" w:rsidRDefault="00432150" w:rsidP="00432150">
            <w:pPr>
              <w:spacing w:before="240" w:after="240" w:line="240" w:lineRule="auto"/>
              <w:jc w:val="center"/>
              <w:rPr>
                <w:rFonts w:ascii="Arial" w:eastAsia="Times New Roman" w:hAnsi="Arial" w:cs="Arial"/>
                <w:b/>
                <w:bCs/>
                <w:sz w:val="20"/>
                <w:szCs w:val="20"/>
              </w:rPr>
            </w:pPr>
          </w:p>
          <w:p w14:paraId="5CCB4DB6" w14:textId="77777777" w:rsidR="001E1AF7" w:rsidRPr="00432150" w:rsidRDefault="001E1AF7" w:rsidP="00432150">
            <w:pPr>
              <w:spacing w:before="240" w:after="240" w:line="240" w:lineRule="auto"/>
              <w:jc w:val="center"/>
              <w:rPr>
                <w:rFonts w:ascii="Arial" w:eastAsia="Times New Roman" w:hAnsi="Arial" w:cs="Arial"/>
                <w:b/>
                <w:bCs/>
                <w:sz w:val="20"/>
                <w:szCs w:val="20"/>
              </w:rPr>
            </w:pPr>
          </w:p>
          <w:p w14:paraId="2F1A559E" w14:textId="490663D1"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32"/>
                <w:szCs w:val="32"/>
              </w:rPr>
              <w:object w:dxaOrig="225" w:dyaOrig="225" w14:anchorId="331EA946">
                <v:shape id="_x0000_i1039" type="#_x0000_t75" style="width:12.75pt;height:25.5pt" o:ole="">
                  <v:imagedata r:id="rId11" o:title=""/>
                </v:shape>
                <w:control r:id="rId12" w:name="OptionButton11" w:shapeid="_x0000_i1039"/>
              </w:object>
            </w:r>
          </w:p>
        </w:tc>
        <w:tc>
          <w:tcPr>
            <w:tcW w:w="8280" w:type="dxa"/>
            <w:tcBorders>
              <w:top w:val="single" w:sz="4" w:space="0" w:color="auto"/>
              <w:left w:val="single" w:sz="4" w:space="0" w:color="auto"/>
              <w:bottom w:val="single" w:sz="4" w:space="0" w:color="auto"/>
              <w:right w:val="single" w:sz="4" w:space="0" w:color="auto"/>
            </w:tcBorders>
          </w:tcPr>
          <w:p w14:paraId="20535EB9" w14:textId="77777777" w:rsidR="00432150" w:rsidRPr="00432150" w:rsidRDefault="00432150" w:rsidP="00432150">
            <w:pPr>
              <w:numPr>
                <w:ilvl w:val="0"/>
                <w:numId w:val="1"/>
              </w:numPr>
              <w:spacing w:before="120" w:after="120" w:line="240" w:lineRule="auto"/>
              <w:ind w:left="436" w:hanging="270"/>
              <w:contextualSpacing/>
              <w:rPr>
                <w:rFonts w:ascii="Arial" w:eastAsia="Times New Roman" w:hAnsi="Arial" w:cs="Arial"/>
                <w:bCs/>
              </w:rPr>
            </w:pPr>
            <w:r w:rsidRPr="00432150">
              <w:rPr>
                <w:rFonts w:ascii="Arial" w:eastAsia="Times New Roman" w:hAnsi="Arial" w:cs="Arial"/>
                <w:bCs/>
              </w:rPr>
              <w:t xml:space="preserve">The </w:t>
            </w:r>
            <w:r w:rsidRPr="00432150">
              <w:rPr>
                <w:rFonts w:ascii="Arial" w:eastAsia="Times New Roman" w:hAnsi="Arial" w:cs="Arial"/>
                <w:bCs/>
                <w:u w:val="single"/>
              </w:rPr>
              <w:t>data</w:t>
            </w:r>
            <w:r w:rsidRPr="00432150">
              <w:rPr>
                <w:rFonts w:ascii="Arial" w:eastAsia="Times New Roman" w:hAnsi="Arial" w:cs="Arial"/>
                <w:bCs/>
              </w:rPr>
              <w:t xml:space="preserve"> used to develop the actuarial IBNR estimate only includes FHCF-covered loss data (direct incurred losses and additional living expenses, and appropriately excludes losses not covered under the </w:t>
            </w:r>
            <w:hyperlink r:id="rId13" w:history="1">
              <w:r w:rsidRPr="00432150">
                <w:rPr>
                  <w:rFonts w:ascii="Arial" w:eastAsia="Times New Roman" w:hAnsi="Arial" w:cs="Arial"/>
                  <w:color w:val="0000FF"/>
                  <w:sz w:val="20"/>
                  <w:szCs w:val="28"/>
                  <w:u w:val="single"/>
                </w:rPr>
                <w:t>2018 FHCF Reimbursement Contract</w:t>
              </w:r>
            </w:hyperlink>
            <w:r w:rsidRPr="00432150">
              <w:rPr>
                <w:rFonts w:ascii="Arial" w:eastAsia="Times New Roman" w:hAnsi="Arial" w:cs="Arial"/>
                <w:bCs/>
              </w:rPr>
              <w:t>, such as non-habitational and non-Florida losses), i.e.:</w:t>
            </w:r>
          </w:p>
          <w:p w14:paraId="3965AE42" w14:textId="77777777" w:rsidR="00432150" w:rsidRDefault="00432150" w:rsidP="001D3984">
            <w:pPr>
              <w:numPr>
                <w:ilvl w:val="0"/>
                <w:numId w:val="3"/>
              </w:numPr>
              <w:spacing w:before="100" w:beforeAutospacing="1" w:after="120" w:line="240" w:lineRule="auto"/>
              <w:ind w:left="1253"/>
              <w:rPr>
                <w:rFonts w:ascii="Arial" w:eastAsia="Times New Roman" w:hAnsi="Arial" w:cs="Arial"/>
                <w:bCs/>
              </w:rPr>
            </w:pPr>
            <w:r w:rsidRPr="00432150">
              <w:rPr>
                <w:rFonts w:ascii="Arial" w:eastAsia="Times New Roman" w:hAnsi="Arial" w:cs="Arial"/>
                <w:bCs/>
              </w:rPr>
              <w:t>Paid loss history is only for FHCF-covered losses</w:t>
            </w:r>
          </w:p>
          <w:p w14:paraId="65660364" w14:textId="464AE265" w:rsidR="00F3483A" w:rsidRPr="00432150" w:rsidRDefault="00F3483A" w:rsidP="001D3984">
            <w:pPr>
              <w:numPr>
                <w:ilvl w:val="0"/>
                <w:numId w:val="3"/>
              </w:numPr>
              <w:spacing w:before="100" w:beforeAutospacing="1" w:after="120" w:line="240" w:lineRule="auto"/>
              <w:ind w:left="1253"/>
              <w:rPr>
                <w:rFonts w:ascii="Arial" w:eastAsia="Times New Roman" w:hAnsi="Arial" w:cs="Arial"/>
                <w:bCs/>
              </w:rPr>
            </w:pPr>
            <w:r>
              <w:rPr>
                <w:rFonts w:ascii="Arial" w:eastAsia="Times New Roman" w:hAnsi="Arial" w:cs="Arial"/>
                <w:bCs/>
              </w:rPr>
              <w:t>Excludes all loss adjustment expenses</w:t>
            </w:r>
          </w:p>
          <w:p w14:paraId="0CDAE5A8" w14:textId="77777777" w:rsidR="00432150" w:rsidRPr="00432150" w:rsidRDefault="00432150" w:rsidP="001D3984">
            <w:pPr>
              <w:numPr>
                <w:ilvl w:val="0"/>
                <w:numId w:val="3"/>
              </w:numPr>
              <w:spacing w:before="100" w:beforeAutospacing="1" w:after="120" w:line="240" w:lineRule="auto"/>
              <w:ind w:left="1246"/>
              <w:rPr>
                <w:rFonts w:ascii="Arial" w:eastAsia="Times New Roman" w:hAnsi="Arial" w:cs="Arial"/>
                <w:bCs/>
              </w:rPr>
            </w:pPr>
            <w:r w:rsidRPr="00432150">
              <w:rPr>
                <w:rFonts w:ascii="Arial" w:eastAsia="Times New Roman" w:hAnsi="Arial" w:cs="Arial"/>
                <w:bCs/>
              </w:rPr>
              <w:t>Outstanding/case loss history is only for FHCF-covered losses</w:t>
            </w:r>
          </w:p>
          <w:p w14:paraId="44A9230A" w14:textId="77777777" w:rsidR="00432150" w:rsidRPr="00432150" w:rsidRDefault="00432150" w:rsidP="00432150">
            <w:pPr>
              <w:spacing w:before="120" w:after="120" w:line="240" w:lineRule="auto"/>
              <w:ind w:left="436" w:hanging="270"/>
              <w:jc w:val="center"/>
              <w:rPr>
                <w:rFonts w:ascii="Arial" w:eastAsia="Times New Roman" w:hAnsi="Arial" w:cs="Arial"/>
                <w:b/>
                <w:sz w:val="24"/>
                <w:szCs w:val="24"/>
              </w:rPr>
            </w:pPr>
            <w:r w:rsidRPr="00432150">
              <w:rPr>
                <w:rFonts w:ascii="Arial" w:eastAsia="Times New Roman" w:hAnsi="Arial" w:cs="Arial"/>
                <w:b/>
                <w:sz w:val="24"/>
                <w:szCs w:val="24"/>
              </w:rPr>
              <w:t>OR</w:t>
            </w:r>
          </w:p>
          <w:p w14:paraId="27B21BA3" w14:textId="77777777" w:rsidR="00432150" w:rsidRPr="00432150" w:rsidRDefault="00432150" w:rsidP="00432150">
            <w:pPr>
              <w:spacing w:before="120" w:after="120" w:line="240" w:lineRule="auto"/>
              <w:ind w:left="436"/>
              <w:rPr>
                <w:rFonts w:ascii="Arial" w:eastAsia="Times New Roman" w:hAnsi="Arial" w:cs="Arial"/>
                <w:bCs/>
                <w:sz w:val="20"/>
                <w:szCs w:val="20"/>
              </w:rPr>
            </w:pPr>
            <w:r w:rsidRPr="00432150">
              <w:rPr>
                <w:rFonts w:ascii="Arial" w:eastAsia="Times New Roman" w:hAnsi="Arial" w:cs="Arial"/>
                <w:bCs/>
              </w:rPr>
              <w:t>If data other than FHCF-covered data was used to develop the actuarial estimate, a description of that data, along with a reconciliation of the total IBNR generated from this data to FHCF-covered loss IBNR, is included in the opinion.</w:t>
            </w:r>
          </w:p>
        </w:tc>
      </w:tr>
    </w:tbl>
    <w:p w14:paraId="141E92CC" w14:textId="73F24EFC" w:rsidR="003C1FD7" w:rsidRDefault="003C1FD7"/>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15"/>
        <w:gridCol w:w="8280"/>
      </w:tblGrid>
      <w:tr w:rsidR="00432150" w:rsidRPr="00432150" w14:paraId="3242DB31" w14:textId="77777777" w:rsidTr="00432150">
        <w:trPr>
          <w:trHeight w:val="473"/>
        </w:trPr>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0F7296" w14:textId="33250B8E" w:rsidR="00432150" w:rsidRPr="00432150" w:rsidRDefault="00432150" w:rsidP="00432150">
            <w:pPr>
              <w:spacing w:before="120" w:after="0" w:line="240" w:lineRule="auto"/>
              <w:jc w:val="center"/>
              <w:rPr>
                <w:rFonts w:ascii="Arial" w:eastAsia="Times New Roman" w:hAnsi="Arial" w:cs="Arial"/>
                <w:sz w:val="20"/>
                <w:szCs w:val="20"/>
              </w:rPr>
            </w:pPr>
            <w:r w:rsidRPr="00432150">
              <w:rPr>
                <w:rFonts w:ascii="Arial" w:eastAsia="Times New Roman" w:hAnsi="Arial" w:cs="Arial"/>
                <w:sz w:val="20"/>
                <w:szCs w:val="20"/>
              </w:rPr>
              <w:object w:dxaOrig="225" w:dyaOrig="225" w14:anchorId="3A50B2FA">
                <v:shape id="_x0000_i1049" type="#_x0000_t75" style="width:13.5pt;height:19.5pt" o:ole="">
                  <v:imagedata r:id="rId14" o:title=""/>
                </v:shape>
                <w:control r:id="rId15" w:name="OptionButton2" w:shapeid="_x0000_i1049"/>
              </w:object>
            </w:r>
          </w:p>
          <w:p w14:paraId="4C9DD5DD" w14:textId="77777777" w:rsidR="00432150" w:rsidRPr="00432150" w:rsidRDefault="00432150" w:rsidP="001E1AF7">
            <w:pPr>
              <w:spacing w:before="120" w:after="120" w:line="240" w:lineRule="auto"/>
              <w:rPr>
                <w:rFonts w:ascii="Arial" w:eastAsia="Times New Roman" w:hAnsi="Arial" w:cs="Arial"/>
                <w:b/>
                <w:bCs/>
                <w:sz w:val="32"/>
                <w:szCs w:val="32"/>
              </w:rPr>
            </w:pPr>
          </w:p>
          <w:p w14:paraId="5E226B7B" w14:textId="3F8F6402" w:rsidR="00432150" w:rsidRPr="00432150" w:rsidRDefault="00432150" w:rsidP="00432150">
            <w:pPr>
              <w:spacing w:before="240" w:after="0" w:line="240" w:lineRule="auto"/>
              <w:jc w:val="center"/>
              <w:rPr>
                <w:rFonts w:ascii="Arial" w:eastAsia="Times New Roman" w:hAnsi="Arial" w:cs="Arial"/>
                <w:sz w:val="20"/>
                <w:szCs w:val="20"/>
              </w:rPr>
            </w:pPr>
            <w:r w:rsidRPr="00432150">
              <w:rPr>
                <w:rFonts w:ascii="Arial" w:eastAsia="Times New Roman" w:hAnsi="Arial" w:cs="Arial"/>
                <w:sz w:val="20"/>
                <w:szCs w:val="20"/>
              </w:rPr>
              <w:object w:dxaOrig="225" w:dyaOrig="225" w14:anchorId="44EF04C6">
                <v:shape id="_x0000_i1043" type="#_x0000_t75" style="width:13.5pt;height:19.5pt" o:ole="">
                  <v:imagedata r:id="rId16" o:title=""/>
                </v:shape>
                <w:control r:id="rId17" w:name="OptionButton21" w:shapeid="_x0000_i1043"/>
              </w:object>
            </w:r>
          </w:p>
        </w:tc>
        <w:tc>
          <w:tcPr>
            <w:tcW w:w="8280" w:type="dxa"/>
            <w:tcBorders>
              <w:top w:val="single" w:sz="4" w:space="0" w:color="auto"/>
              <w:left w:val="single" w:sz="4" w:space="0" w:color="auto"/>
              <w:bottom w:val="single" w:sz="4" w:space="0" w:color="auto"/>
              <w:right w:val="single" w:sz="4" w:space="0" w:color="auto"/>
            </w:tcBorders>
          </w:tcPr>
          <w:p w14:paraId="6982329C" w14:textId="2D4D5A58" w:rsidR="00432150" w:rsidRPr="00432150" w:rsidRDefault="00432150" w:rsidP="00432150">
            <w:pPr>
              <w:numPr>
                <w:ilvl w:val="0"/>
                <w:numId w:val="1"/>
              </w:numPr>
              <w:spacing w:before="120" w:after="120" w:line="240" w:lineRule="auto"/>
              <w:ind w:left="436" w:hanging="270"/>
              <w:rPr>
                <w:rFonts w:ascii="Arial" w:eastAsia="Times New Roman" w:hAnsi="Arial" w:cs="Arial"/>
                <w:bCs/>
              </w:rPr>
            </w:pPr>
            <w:r w:rsidRPr="00432150">
              <w:rPr>
                <w:rFonts w:ascii="Arial" w:eastAsia="Times New Roman" w:hAnsi="Arial" w:cs="Arial"/>
                <w:bCs/>
              </w:rPr>
              <w:t>The actuarial IBNR estimate</w:t>
            </w:r>
            <w:r w:rsidR="00F3483A">
              <w:rPr>
                <w:rFonts w:ascii="Arial" w:eastAsia="Times New Roman" w:hAnsi="Arial" w:cs="Arial"/>
                <w:bCs/>
              </w:rPr>
              <w:t xml:space="preserve"> equals the IBNR reported on the final </w:t>
            </w:r>
            <w:r w:rsidR="00CE4BEA">
              <w:rPr>
                <w:rFonts w:ascii="Arial" w:eastAsia="Times New Roman" w:hAnsi="Arial" w:cs="Arial"/>
                <w:bCs/>
              </w:rPr>
              <w:t>FHCF Proof of Loss Report submitted</w:t>
            </w:r>
          </w:p>
          <w:p w14:paraId="3A39FFB5" w14:textId="77777777" w:rsidR="00432150" w:rsidRPr="00432150" w:rsidRDefault="00432150" w:rsidP="00432150">
            <w:pPr>
              <w:spacing w:before="120" w:after="120" w:line="240" w:lineRule="auto"/>
              <w:ind w:left="436" w:hanging="270"/>
              <w:jc w:val="center"/>
              <w:rPr>
                <w:rFonts w:ascii="Arial" w:eastAsia="Times New Roman" w:hAnsi="Arial" w:cs="Arial"/>
                <w:b/>
              </w:rPr>
            </w:pPr>
            <w:r w:rsidRPr="00432150">
              <w:rPr>
                <w:rFonts w:ascii="Arial" w:eastAsia="Times New Roman" w:hAnsi="Arial" w:cs="Arial"/>
                <w:b/>
              </w:rPr>
              <w:t>OR</w:t>
            </w:r>
          </w:p>
          <w:p w14:paraId="5E13A236" w14:textId="70C13141" w:rsidR="00432150" w:rsidRPr="00432150" w:rsidRDefault="003A0832" w:rsidP="003A0832">
            <w:pPr>
              <w:spacing w:before="120" w:after="120" w:line="240" w:lineRule="auto"/>
              <w:ind w:left="522"/>
              <w:rPr>
                <w:rFonts w:ascii="Arial" w:eastAsia="Times New Roman" w:hAnsi="Arial" w:cs="Arial"/>
                <w:bCs/>
              </w:rPr>
            </w:pPr>
            <w:r>
              <w:rPr>
                <w:rFonts w:ascii="Arial" w:eastAsia="Times New Roman" w:hAnsi="Arial" w:cs="Arial"/>
                <w:bCs/>
              </w:rPr>
              <w:t>a</w:t>
            </w:r>
            <w:r w:rsidR="00432150" w:rsidRPr="00432150">
              <w:rPr>
                <w:rFonts w:ascii="Arial" w:eastAsia="Times New Roman" w:hAnsi="Arial" w:cs="Arial"/>
                <w:bCs/>
              </w:rPr>
              <w:t xml:space="preserve">n explanation and reconciliation of the total </w:t>
            </w:r>
            <w:r w:rsidR="00CE4BEA">
              <w:rPr>
                <w:rFonts w:ascii="Arial" w:eastAsia="Times New Roman" w:hAnsi="Arial" w:cs="Arial"/>
                <w:bCs/>
              </w:rPr>
              <w:t xml:space="preserve">actuarial </w:t>
            </w:r>
            <w:r w:rsidR="00432150" w:rsidRPr="00432150">
              <w:rPr>
                <w:rFonts w:ascii="Arial" w:eastAsia="Times New Roman" w:hAnsi="Arial" w:cs="Arial"/>
                <w:bCs/>
              </w:rPr>
              <w:t>IBNR</w:t>
            </w:r>
            <w:r w:rsidR="00CE4BEA">
              <w:rPr>
                <w:rFonts w:ascii="Arial" w:eastAsia="Times New Roman" w:hAnsi="Arial" w:cs="Arial"/>
                <w:bCs/>
              </w:rPr>
              <w:t xml:space="preserve"> estimate</w:t>
            </w:r>
            <w:r w:rsidR="00432150" w:rsidRPr="00432150">
              <w:rPr>
                <w:rFonts w:ascii="Arial" w:eastAsia="Times New Roman" w:hAnsi="Arial" w:cs="Arial"/>
                <w:bCs/>
              </w:rPr>
              <w:t xml:space="preserve"> to</w:t>
            </w:r>
            <w:r w:rsidR="00CE4BEA">
              <w:rPr>
                <w:rFonts w:ascii="Arial" w:eastAsia="Times New Roman" w:hAnsi="Arial" w:cs="Arial"/>
                <w:bCs/>
              </w:rPr>
              <w:t xml:space="preserve"> the</w:t>
            </w:r>
            <w:r w:rsidR="00432150" w:rsidRPr="00432150">
              <w:rPr>
                <w:rFonts w:ascii="Arial" w:eastAsia="Times New Roman" w:hAnsi="Arial" w:cs="Arial"/>
                <w:bCs/>
              </w:rPr>
              <w:t xml:space="preserve"> </w:t>
            </w:r>
            <w:r w:rsidR="001C4620">
              <w:rPr>
                <w:rFonts w:ascii="Arial" w:eastAsia="Times New Roman" w:hAnsi="Arial" w:cs="Arial"/>
                <w:bCs/>
              </w:rPr>
              <w:t xml:space="preserve">Proof of Loss </w:t>
            </w:r>
            <w:r w:rsidR="00432150" w:rsidRPr="00432150">
              <w:rPr>
                <w:rFonts w:ascii="Arial" w:eastAsia="Times New Roman" w:hAnsi="Arial" w:cs="Arial"/>
                <w:bCs/>
              </w:rPr>
              <w:t>IBNR is included in</w:t>
            </w:r>
            <w:r w:rsidR="00CE4BEA">
              <w:rPr>
                <w:rFonts w:ascii="Arial" w:eastAsia="Times New Roman" w:hAnsi="Arial" w:cs="Arial"/>
                <w:bCs/>
              </w:rPr>
              <w:t xml:space="preserve"> a cover letter</w:t>
            </w:r>
            <w:r w:rsidR="00432150" w:rsidRPr="00432150">
              <w:rPr>
                <w:rFonts w:ascii="Arial" w:eastAsia="Times New Roman" w:hAnsi="Arial" w:cs="Arial"/>
                <w:bCs/>
              </w:rPr>
              <w:t>.</w:t>
            </w:r>
          </w:p>
        </w:tc>
      </w:tr>
      <w:tr w:rsidR="00432150" w:rsidRPr="00432150" w14:paraId="208FD2DC" w14:textId="77777777" w:rsidTr="00432150">
        <w:trPr>
          <w:trHeight w:val="473"/>
        </w:trPr>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DFBE04" w14:textId="2D307D3F" w:rsidR="00432150" w:rsidRPr="00432150" w:rsidRDefault="00432150" w:rsidP="00432150">
            <w:pPr>
              <w:spacing w:after="120" w:line="240" w:lineRule="auto"/>
              <w:jc w:val="center"/>
              <w:rPr>
                <w:rFonts w:ascii="Arial" w:eastAsia="Times New Roman" w:hAnsi="Arial" w:cs="Arial"/>
                <w:b/>
                <w:bCs/>
                <w:sz w:val="20"/>
                <w:szCs w:val="20"/>
              </w:rPr>
            </w:pPr>
            <w:r w:rsidRPr="00432150">
              <w:rPr>
                <w:rFonts w:ascii="Arial" w:eastAsia="Times New Roman" w:hAnsi="Arial" w:cs="Arial"/>
                <w:sz w:val="20"/>
                <w:szCs w:val="20"/>
              </w:rPr>
              <w:object w:dxaOrig="225" w:dyaOrig="225" w14:anchorId="2097059C">
                <v:shape id="_x0000_i1045" type="#_x0000_t75" style="width:12pt;height:19.5pt" o:ole="">
                  <v:imagedata r:id="rId18" o:title=""/>
                </v:shape>
                <w:control r:id="rId19" w:name="OptionButton3" w:shapeid="_x0000_i1045"/>
              </w:object>
            </w:r>
          </w:p>
          <w:p w14:paraId="278989C7" w14:textId="77777777" w:rsidR="00432150" w:rsidRPr="00432150" w:rsidRDefault="00432150" w:rsidP="00432150">
            <w:pPr>
              <w:spacing w:after="240" w:line="240" w:lineRule="auto"/>
              <w:jc w:val="center"/>
              <w:rPr>
                <w:rFonts w:ascii="Arial" w:eastAsia="Times New Roman" w:hAnsi="Arial" w:cs="Arial"/>
                <w:b/>
                <w:bCs/>
                <w:sz w:val="28"/>
                <w:szCs w:val="28"/>
              </w:rPr>
            </w:pPr>
          </w:p>
          <w:p w14:paraId="62776777" w14:textId="1ACD4B81" w:rsidR="00432150" w:rsidRPr="00432150" w:rsidRDefault="00432150" w:rsidP="00432150">
            <w:pPr>
              <w:spacing w:after="120" w:line="240" w:lineRule="auto"/>
              <w:jc w:val="center"/>
              <w:rPr>
                <w:rFonts w:ascii="Arial" w:eastAsia="Times New Roman" w:hAnsi="Arial" w:cs="Arial"/>
                <w:b/>
                <w:bCs/>
                <w:sz w:val="20"/>
                <w:szCs w:val="20"/>
              </w:rPr>
            </w:pPr>
            <w:r w:rsidRPr="00432150">
              <w:rPr>
                <w:rFonts w:ascii="Arial" w:eastAsia="Times New Roman" w:hAnsi="Arial" w:cs="Arial"/>
                <w:sz w:val="20"/>
                <w:szCs w:val="20"/>
              </w:rPr>
              <w:object w:dxaOrig="225" w:dyaOrig="225" w14:anchorId="5CBEF7CE">
                <v:shape id="_x0000_i1047" type="#_x0000_t75" style="width:12pt;height:19.5pt" o:ole="">
                  <v:imagedata r:id="rId20" o:title=""/>
                </v:shape>
                <w:control r:id="rId21" w:name="OptionButton31" w:shapeid="_x0000_i1047"/>
              </w:object>
            </w:r>
          </w:p>
        </w:tc>
        <w:tc>
          <w:tcPr>
            <w:tcW w:w="8280" w:type="dxa"/>
            <w:tcBorders>
              <w:top w:val="single" w:sz="4" w:space="0" w:color="auto"/>
              <w:left w:val="single" w:sz="4" w:space="0" w:color="auto"/>
              <w:bottom w:val="single" w:sz="4" w:space="0" w:color="auto"/>
              <w:right w:val="single" w:sz="4" w:space="0" w:color="auto"/>
            </w:tcBorders>
          </w:tcPr>
          <w:p w14:paraId="19C927B6" w14:textId="77777777" w:rsidR="00432150" w:rsidRPr="00432150" w:rsidRDefault="00432150" w:rsidP="00432150">
            <w:pPr>
              <w:numPr>
                <w:ilvl w:val="0"/>
                <w:numId w:val="4"/>
              </w:numPr>
              <w:spacing w:before="120" w:after="0" w:line="240" w:lineRule="auto"/>
              <w:ind w:left="436" w:hanging="270"/>
              <w:contextualSpacing/>
              <w:rPr>
                <w:rFonts w:ascii="Arial" w:eastAsia="Times New Roman" w:hAnsi="Arial" w:cs="Arial"/>
                <w:bCs/>
              </w:rPr>
            </w:pPr>
            <w:r w:rsidRPr="00432150">
              <w:rPr>
                <w:rFonts w:ascii="Arial" w:eastAsia="Times New Roman" w:hAnsi="Arial" w:cs="Arial"/>
                <w:bCs/>
              </w:rPr>
              <w:t>The actuarial evaluation of IBNR was calculated on an individual company basis.</w:t>
            </w:r>
          </w:p>
          <w:p w14:paraId="55051EAC" w14:textId="77777777" w:rsidR="00432150" w:rsidRPr="00432150" w:rsidRDefault="00432150" w:rsidP="00432150">
            <w:pPr>
              <w:spacing w:before="120" w:after="120" w:line="240" w:lineRule="auto"/>
              <w:jc w:val="center"/>
              <w:rPr>
                <w:rFonts w:ascii="Arial" w:eastAsia="Times New Roman" w:hAnsi="Arial" w:cs="Arial"/>
                <w:b/>
              </w:rPr>
            </w:pPr>
            <w:r w:rsidRPr="00432150">
              <w:rPr>
                <w:rFonts w:ascii="Arial" w:eastAsia="Times New Roman" w:hAnsi="Arial" w:cs="Arial"/>
                <w:b/>
              </w:rPr>
              <w:t>OR</w:t>
            </w:r>
          </w:p>
          <w:p w14:paraId="4076971C" w14:textId="77777777" w:rsidR="00432150" w:rsidRPr="00432150" w:rsidRDefault="00432150" w:rsidP="00432150">
            <w:pPr>
              <w:spacing w:before="120" w:after="120" w:line="240" w:lineRule="auto"/>
              <w:ind w:left="432"/>
              <w:rPr>
                <w:rFonts w:ascii="Arial" w:eastAsia="Times New Roman" w:hAnsi="Arial" w:cs="Arial"/>
                <w:bCs/>
              </w:rPr>
            </w:pPr>
            <w:r w:rsidRPr="00432150">
              <w:rPr>
                <w:rFonts w:ascii="Arial" w:eastAsia="Times New Roman" w:hAnsi="Arial" w:cs="Arial"/>
                <w:bCs/>
              </w:rPr>
              <w:t xml:space="preserve">If the calculation was performed on an NAIC group basis, details of the allocation of IBNR to each FHCF company in the group is included in the signed opinion or supporting documentation. </w:t>
            </w:r>
          </w:p>
        </w:tc>
      </w:tr>
      <w:tr w:rsidR="00432150" w:rsidRPr="00432150" w14:paraId="79BFD01D" w14:textId="77777777" w:rsidTr="00432150">
        <w:trPr>
          <w:trHeight w:val="143"/>
        </w:trPr>
        <w:tc>
          <w:tcPr>
            <w:tcW w:w="1165" w:type="dxa"/>
            <w:gridSpan w:val="2"/>
            <w:tcBorders>
              <w:top w:val="single" w:sz="4" w:space="0" w:color="auto"/>
              <w:left w:val="single" w:sz="4" w:space="0" w:color="auto"/>
              <w:bottom w:val="single" w:sz="4" w:space="0" w:color="auto"/>
              <w:right w:val="single" w:sz="4" w:space="0" w:color="auto"/>
            </w:tcBorders>
          </w:tcPr>
          <w:p w14:paraId="4898F28D" w14:textId="77777777" w:rsidR="00432150" w:rsidRPr="00432150" w:rsidRDefault="00432150" w:rsidP="00432150">
            <w:pPr>
              <w:spacing w:before="120" w:after="120" w:line="240" w:lineRule="auto"/>
              <w:rPr>
                <w:rFonts w:ascii="Arial" w:eastAsia="Times New Roman" w:hAnsi="Arial" w:cs="Arial"/>
                <w:bCs/>
                <w:sz w:val="20"/>
                <w:szCs w:val="20"/>
              </w:rPr>
            </w:pPr>
          </w:p>
        </w:tc>
        <w:tc>
          <w:tcPr>
            <w:tcW w:w="8280" w:type="dxa"/>
            <w:tcBorders>
              <w:top w:val="single" w:sz="4" w:space="0" w:color="auto"/>
              <w:left w:val="single" w:sz="4" w:space="0" w:color="auto"/>
              <w:bottom w:val="single" w:sz="4" w:space="0" w:color="auto"/>
              <w:right w:val="single" w:sz="4" w:space="0" w:color="auto"/>
            </w:tcBorders>
          </w:tcPr>
          <w:p w14:paraId="2E9DE0A4" w14:textId="3A7801C6" w:rsidR="00432150" w:rsidRPr="00432150" w:rsidRDefault="00432150" w:rsidP="00432150">
            <w:pPr>
              <w:spacing w:before="120" w:after="120" w:line="240" w:lineRule="auto"/>
              <w:rPr>
                <w:rFonts w:ascii="Arial" w:eastAsia="Times New Roman" w:hAnsi="Arial" w:cs="Arial"/>
                <w:bCs/>
              </w:rPr>
            </w:pPr>
            <w:r w:rsidRPr="00432150">
              <w:rPr>
                <w:rFonts w:ascii="Arial" w:eastAsia="Times New Roman" w:hAnsi="Arial" w:cs="Arial"/>
                <w:bCs/>
              </w:rPr>
              <w:t xml:space="preserve">Comments: </w:t>
            </w:r>
            <w:r w:rsidRPr="00432150">
              <w:rPr>
                <w:rFonts w:ascii="Arial" w:eastAsia="Times New Roman" w:hAnsi="Arial" w:cs="Arial"/>
                <w:bCs/>
              </w:rPr>
              <w:fldChar w:fldCharType="begin">
                <w:ffData>
                  <w:name w:val="Text3"/>
                  <w:enabled/>
                  <w:calcOnExit w:val="0"/>
                  <w:textInput/>
                </w:ffData>
              </w:fldChar>
            </w:r>
            <w:bookmarkStart w:id="1" w:name="Text3"/>
            <w:r w:rsidRPr="00432150">
              <w:rPr>
                <w:rFonts w:ascii="Arial" w:eastAsia="Times New Roman" w:hAnsi="Arial" w:cs="Arial"/>
                <w:bCs/>
              </w:rPr>
              <w:instrText xml:space="preserve"> FORMTEXT </w:instrText>
            </w:r>
            <w:r w:rsidRPr="00432150">
              <w:rPr>
                <w:rFonts w:ascii="Arial" w:eastAsia="Times New Roman" w:hAnsi="Arial" w:cs="Arial"/>
                <w:bCs/>
              </w:rPr>
            </w:r>
            <w:r w:rsidRPr="00432150">
              <w:rPr>
                <w:rFonts w:ascii="Arial" w:eastAsia="Times New Roman" w:hAnsi="Arial" w:cs="Arial"/>
                <w:bCs/>
              </w:rPr>
              <w:fldChar w:fldCharType="separate"/>
            </w:r>
            <w:r w:rsidR="008E30F8">
              <w:rPr>
                <w:rFonts w:ascii="Arial" w:eastAsia="Times New Roman" w:hAnsi="Arial" w:cs="Arial"/>
                <w:bCs/>
              </w:rPr>
              <w:t> </w:t>
            </w:r>
            <w:r w:rsidR="008E30F8">
              <w:rPr>
                <w:rFonts w:ascii="Arial" w:eastAsia="Times New Roman" w:hAnsi="Arial" w:cs="Arial"/>
                <w:bCs/>
              </w:rPr>
              <w:t> </w:t>
            </w:r>
            <w:r w:rsidR="008E30F8">
              <w:rPr>
                <w:rFonts w:ascii="Arial" w:eastAsia="Times New Roman" w:hAnsi="Arial" w:cs="Arial"/>
                <w:bCs/>
              </w:rPr>
              <w:t> </w:t>
            </w:r>
            <w:r w:rsidR="008E30F8">
              <w:rPr>
                <w:rFonts w:ascii="Arial" w:eastAsia="Times New Roman" w:hAnsi="Arial" w:cs="Arial"/>
                <w:bCs/>
              </w:rPr>
              <w:t> </w:t>
            </w:r>
            <w:r w:rsidR="008E30F8">
              <w:rPr>
                <w:rFonts w:ascii="Arial" w:eastAsia="Times New Roman" w:hAnsi="Arial" w:cs="Arial"/>
                <w:bCs/>
              </w:rPr>
              <w:t> </w:t>
            </w:r>
            <w:r w:rsidRPr="00432150">
              <w:rPr>
                <w:rFonts w:ascii="Arial" w:eastAsia="Times New Roman" w:hAnsi="Arial" w:cs="Arial"/>
                <w:bCs/>
              </w:rPr>
              <w:fldChar w:fldCharType="end"/>
            </w:r>
            <w:bookmarkEnd w:id="1"/>
          </w:p>
        </w:tc>
      </w:tr>
      <w:tr w:rsidR="00432150" w:rsidRPr="00432150" w14:paraId="48E4AEEC" w14:textId="77777777" w:rsidTr="00432150">
        <w:trPr>
          <w:trHeight w:val="143"/>
        </w:trPr>
        <w:tc>
          <w:tcPr>
            <w:tcW w:w="9445" w:type="dxa"/>
            <w:gridSpan w:val="3"/>
            <w:tcBorders>
              <w:top w:val="single" w:sz="4" w:space="0" w:color="auto"/>
              <w:left w:val="single" w:sz="4" w:space="0" w:color="auto"/>
              <w:bottom w:val="single" w:sz="4" w:space="0" w:color="auto"/>
              <w:right w:val="single" w:sz="4" w:space="0" w:color="auto"/>
            </w:tcBorders>
          </w:tcPr>
          <w:p w14:paraId="4E9FCEE3" w14:textId="77777777" w:rsidR="00432150" w:rsidRPr="00432150" w:rsidRDefault="00432150" w:rsidP="00432150">
            <w:pPr>
              <w:spacing w:before="120" w:after="120" w:line="240" w:lineRule="auto"/>
              <w:rPr>
                <w:rFonts w:ascii="Arial" w:eastAsia="Times New Roman" w:hAnsi="Arial" w:cs="Arial"/>
                <w:b/>
              </w:rPr>
            </w:pPr>
            <w:r w:rsidRPr="00432150">
              <w:rPr>
                <w:rFonts w:ascii="Arial" w:eastAsia="Times New Roman" w:hAnsi="Arial" w:cs="Arial"/>
                <w:b/>
              </w:rPr>
              <w:t>CONFIRMATION – must be completed by certifying actuary:</w:t>
            </w:r>
          </w:p>
          <w:p w14:paraId="63D0B919" w14:textId="0C11C4CB" w:rsidR="00432150" w:rsidRPr="00432150" w:rsidRDefault="00432150" w:rsidP="00432150">
            <w:pPr>
              <w:spacing w:before="240" w:after="120" w:line="240" w:lineRule="auto"/>
              <w:rPr>
                <w:rFonts w:ascii="Arial" w:eastAsia="Times New Roman" w:hAnsi="Arial" w:cs="Arial"/>
                <w:b/>
              </w:rPr>
            </w:pPr>
            <w:r w:rsidRPr="00432150">
              <w:rPr>
                <w:rFonts w:ascii="Arial" w:eastAsia="Times New Roman" w:hAnsi="Arial" w:cs="Arial"/>
                <w:b/>
              </w:rPr>
              <w:t xml:space="preserve">Name:  </w:t>
            </w:r>
            <w:r w:rsidRPr="00432150">
              <w:rPr>
                <w:rFonts w:ascii="Arial" w:eastAsia="Times New Roman" w:hAnsi="Arial" w:cs="Arial"/>
                <w:bCs/>
                <w:sz w:val="20"/>
                <w:szCs w:val="20"/>
              </w:rPr>
              <w:fldChar w:fldCharType="begin">
                <w:ffData>
                  <w:name w:val="Text3"/>
                  <w:enabled/>
                  <w:calcOnExit w:val="0"/>
                  <w:textInput/>
                </w:ffData>
              </w:fldChar>
            </w:r>
            <w:r w:rsidRPr="00432150">
              <w:rPr>
                <w:rFonts w:ascii="Arial" w:eastAsia="Times New Roman" w:hAnsi="Arial" w:cs="Arial"/>
                <w:bCs/>
                <w:sz w:val="20"/>
                <w:szCs w:val="20"/>
              </w:rPr>
              <w:instrText xml:space="preserve"> FORMTEXT </w:instrText>
            </w:r>
            <w:r w:rsidRPr="00432150">
              <w:rPr>
                <w:rFonts w:ascii="Arial" w:eastAsia="Times New Roman" w:hAnsi="Arial" w:cs="Arial"/>
                <w:bCs/>
                <w:sz w:val="20"/>
                <w:szCs w:val="20"/>
              </w:rPr>
            </w:r>
            <w:r w:rsidRPr="00432150">
              <w:rPr>
                <w:rFonts w:ascii="Arial" w:eastAsia="Times New Roman" w:hAnsi="Arial" w:cs="Arial"/>
                <w:bCs/>
                <w:sz w:val="20"/>
                <w:szCs w:val="20"/>
              </w:rPr>
              <w:fldChar w:fldCharType="separate"/>
            </w:r>
            <w:r w:rsidR="008E30F8">
              <w:rPr>
                <w:rFonts w:ascii="Arial" w:eastAsia="Times New Roman" w:hAnsi="Arial" w:cs="Arial"/>
                <w:bCs/>
                <w:sz w:val="20"/>
                <w:szCs w:val="20"/>
              </w:rPr>
              <w:t> </w:t>
            </w:r>
            <w:r w:rsidR="008E30F8">
              <w:rPr>
                <w:rFonts w:ascii="Arial" w:eastAsia="Times New Roman" w:hAnsi="Arial" w:cs="Arial"/>
                <w:bCs/>
                <w:sz w:val="20"/>
                <w:szCs w:val="20"/>
              </w:rPr>
              <w:t> </w:t>
            </w:r>
            <w:r w:rsidR="008E30F8">
              <w:rPr>
                <w:rFonts w:ascii="Arial" w:eastAsia="Times New Roman" w:hAnsi="Arial" w:cs="Arial"/>
                <w:bCs/>
                <w:sz w:val="20"/>
                <w:szCs w:val="20"/>
              </w:rPr>
              <w:t> </w:t>
            </w:r>
            <w:r w:rsidR="008E30F8">
              <w:rPr>
                <w:rFonts w:ascii="Arial" w:eastAsia="Times New Roman" w:hAnsi="Arial" w:cs="Arial"/>
                <w:bCs/>
                <w:sz w:val="20"/>
                <w:szCs w:val="20"/>
              </w:rPr>
              <w:t> </w:t>
            </w:r>
            <w:r w:rsidR="008E30F8">
              <w:rPr>
                <w:rFonts w:ascii="Arial" w:eastAsia="Times New Roman" w:hAnsi="Arial" w:cs="Arial"/>
                <w:bCs/>
                <w:sz w:val="20"/>
                <w:szCs w:val="20"/>
              </w:rPr>
              <w:t> </w:t>
            </w:r>
            <w:r w:rsidRPr="00432150">
              <w:rPr>
                <w:rFonts w:ascii="Arial" w:eastAsia="Times New Roman" w:hAnsi="Arial" w:cs="Arial"/>
                <w:bCs/>
                <w:sz w:val="20"/>
                <w:szCs w:val="20"/>
              </w:rPr>
              <w:fldChar w:fldCharType="end"/>
            </w:r>
          </w:p>
          <w:p w14:paraId="5959DDBB" w14:textId="77777777" w:rsidR="00432150" w:rsidRPr="00432150" w:rsidRDefault="00432150" w:rsidP="00432150">
            <w:pPr>
              <w:spacing w:before="240" w:after="120" w:line="240" w:lineRule="auto"/>
              <w:rPr>
                <w:rFonts w:ascii="Arial" w:eastAsia="Times New Roman" w:hAnsi="Arial" w:cs="Arial"/>
                <w:b/>
              </w:rPr>
            </w:pPr>
            <w:r w:rsidRPr="00432150">
              <w:rPr>
                <w:rFonts w:ascii="Arial" w:eastAsia="Times New Roman" w:hAnsi="Arial" w:cs="Arial"/>
                <w:b/>
              </w:rPr>
              <w:t xml:space="preserve">Title:  </w:t>
            </w:r>
            <w:r w:rsidRPr="00432150">
              <w:rPr>
                <w:rFonts w:ascii="Arial" w:eastAsia="Times New Roman" w:hAnsi="Arial" w:cs="Arial"/>
                <w:bCs/>
                <w:sz w:val="20"/>
                <w:szCs w:val="20"/>
              </w:rPr>
              <w:fldChar w:fldCharType="begin">
                <w:ffData>
                  <w:name w:val="Text3"/>
                  <w:enabled/>
                  <w:calcOnExit w:val="0"/>
                  <w:textInput/>
                </w:ffData>
              </w:fldChar>
            </w:r>
            <w:r w:rsidRPr="00432150">
              <w:rPr>
                <w:rFonts w:ascii="Arial" w:eastAsia="Times New Roman" w:hAnsi="Arial" w:cs="Arial"/>
                <w:bCs/>
                <w:sz w:val="20"/>
                <w:szCs w:val="20"/>
              </w:rPr>
              <w:instrText xml:space="preserve"> FORMTEXT </w:instrText>
            </w:r>
            <w:r w:rsidRPr="00432150">
              <w:rPr>
                <w:rFonts w:ascii="Arial" w:eastAsia="Times New Roman" w:hAnsi="Arial" w:cs="Arial"/>
                <w:bCs/>
                <w:sz w:val="20"/>
                <w:szCs w:val="20"/>
              </w:rPr>
            </w:r>
            <w:r w:rsidRPr="00432150">
              <w:rPr>
                <w:rFonts w:ascii="Arial" w:eastAsia="Times New Roman" w:hAnsi="Arial" w:cs="Arial"/>
                <w:bCs/>
                <w:sz w:val="20"/>
                <w:szCs w:val="20"/>
              </w:rPr>
              <w:fldChar w:fldCharType="separate"/>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sz w:val="20"/>
                <w:szCs w:val="20"/>
              </w:rPr>
              <w:fldChar w:fldCharType="end"/>
            </w:r>
          </w:p>
          <w:p w14:paraId="679C2D1E" w14:textId="77777777" w:rsidR="00432150" w:rsidRPr="00432150" w:rsidRDefault="00432150" w:rsidP="00432150">
            <w:pPr>
              <w:spacing w:before="240" w:after="120" w:line="240" w:lineRule="auto"/>
              <w:ind w:right="-8294"/>
              <w:rPr>
                <w:rFonts w:ascii="Arial" w:eastAsia="Times New Roman" w:hAnsi="Arial" w:cs="Arial"/>
                <w:bCs/>
                <w:sz w:val="20"/>
                <w:szCs w:val="20"/>
              </w:rPr>
            </w:pPr>
            <w:r w:rsidRPr="00432150">
              <w:rPr>
                <w:rFonts w:ascii="Arial" w:eastAsia="Times New Roman" w:hAnsi="Arial" w:cs="Arial"/>
                <w:b/>
              </w:rPr>
              <w:t xml:space="preserve">Employer:  </w:t>
            </w:r>
            <w:r w:rsidRPr="00432150">
              <w:rPr>
                <w:rFonts w:ascii="Arial" w:eastAsia="Times New Roman" w:hAnsi="Arial" w:cs="Arial"/>
                <w:bCs/>
                <w:sz w:val="20"/>
                <w:szCs w:val="20"/>
              </w:rPr>
              <w:fldChar w:fldCharType="begin">
                <w:ffData>
                  <w:name w:val="Text3"/>
                  <w:enabled/>
                  <w:calcOnExit w:val="0"/>
                  <w:textInput/>
                </w:ffData>
              </w:fldChar>
            </w:r>
            <w:r w:rsidRPr="00432150">
              <w:rPr>
                <w:rFonts w:ascii="Arial" w:eastAsia="Times New Roman" w:hAnsi="Arial" w:cs="Arial"/>
                <w:bCs/>
                <w:sz w:val="20"/>
                <w:szCs w:val="20"/>
              </w:rPr>
              <w:instrText xml:space="preserve"> FORMTEXT </w:instrText>
            </w:r>
            <w:r w:rsidRPr="00432150">
              <w:rPr>
                <w:rFonts w:ascii="Arial" w:eastAsia="Times New Roman" w:hAnsi="Arial" w:cs="Arial"/>
                <w:bCs/>
                <w:sz w:val="20"/>
                <w:szCs w:val="20"/>
              </w:rPr>
            </w:r>
            <w:r w:rsidRPr="00432150">
              <w:rPr>
                <w:rFonts w:ascii="Arial" w:eastAsia="Times New Roman" w:hAnsi="Arial" w:cs="Arial"/>
                <w:bCs/>
                <w:sz w:val="20"/>
                <w:szCs w:val="20"/>
              </w:rPr>
              <w:fldChar w:fldCharType="separate"/>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sz w:val="20"/>
                <w:szCs w:val="20"/>
              </w:rPr>
              <w:fldChar w:fldCharType="end"/>
            </w:r>
          </w:p>
          <w:p w14:paraId="6D7BBE19" w14:textId="77777777" w:rsidR="00432150" w:rsidRPr="00432150" w:rsidRDefault="00432150" w:rsidP="00432150">
            <w:pPr>
              <w:spacing w:before="240" w:after="120" w:line="240" w:lineRule="auto"/>
              <w:rPr>
                <w:rFonts w:ascii="Arial" w:eastAsia="Times New Roman" w:hAnsi="Arial" w:cs="Arial"/>
                <w:b/>
              </w:rPr>
            </w:pPr>
            <w:r w:rsidRPr="00432150">
              <w:rPr>
                <w:rFonts w:ascii="Arial" w:eastAsia="Times New Roman" w:hAnsi="Arial" w:cs="Arial"/>
                <w:b/>
              </w:rPr>
              <w:t xml:space="preserve">Phone Number:  </w:t>
            </w:r>
            <w:r w:rsidRPr="00432150">
              <w:rPr>
                <w:rFonts w:ascii="Arial" w:eastAsia="Times New Roman" w:hAnsi="Arial" w:cs="Arial"/>
                <w:bCs/>
                <w:sz w:val="20"/>
                <w:szCs w:val="20"/>
              </w:rPr>
              <w:fldChar w:fldCharType="begin">
                <w:ffData>
                  <w:name w:val="Text3"/>
                  <w:enabled/>
                  <w:calcOnExit w:val="0"/>
                  <w:textInput/>
                </w:ffData>
              </w:fldChar>
            </w:r>
            <w:r w:rsidRPr="00432150">
              <w:rPr>
                <w:rFonts w:ascii="Arial" w:eastAsia="Times New Roman" w:hAnsi="Arial" w:cs="Arial"/>
                <w:bCs/>
                <w:sz w:val="20"/>
                <w:szCs w:val="20"/>
              </w:rPr>
              <w:instrText xml:space="preserve"> FORMTEXT </w:instrText>
            </w:r>
            <w:r w:rsidRPr="00432150">
              <w:rPr>
                <w:rFonts w:ascii="Arial" w:eastAsia="Times New Roman" w:hAnsi="Arial" w:cs="Arial"/>
                <w:bCs/>
                <w:sz w:val="20"/>
                <w:szCs w:val="20"/>
              </w:rPr>
            </w:r>
            <w:r w:rsidRPr="00432150">
              <w:rPr>
                <w:rFonts w:ascii="Arial" w:eastAsia="Times New Roman" w:hAnsi="Arial" w:cs="Arial"/>
                <w:bCs/>
                <w:sz w:val="20"/>
                <w:szCs w:val="20"/>
              </w:rPr>
              <w:fldChar w:fldCharType="separate"/>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sz w:val="20"/>
                <w:szCs w:val="20"/>
              </w:rPr>
              <w:fldChar w:fldCharType="end"/>
            </w:r>
          </w:p>
          <w:p w14:paraId="3F38BBFE" w14:textId="77777777" w:rsidR="00432150" w:rsidRPr="00432150" w:rsidRDefault="00432150" w:rsidP="00432150">
            <w:pPr>
              <w:spacing w:before="240" w:after="120" w:line="240" w:lineRule="auto"/>
              <w:rPr>
                <w:rFonts w:ascii="Arial" w:eastAsia="Times New Roman" w:hAnsi="Arial" w:cs="Arial"/>
                <w:b/>
              </w:rPr>
            </w:pPr>
            <w:r w:rsidRPr="00432150">
              <w:rPr>
                <w:rFonts w:ascii="Arial" w:eastAsia="Times New Roman" w:hAnsi="Arial" w:cs="Arial"/>
                <w:b/>
              </w:rPr>
              <w:t xml:space="preserve">Email:  </w:t>
            </w:r>
            <w:r w:rsidRPr="00432150">
              <w:rPr>
                <w:rFonts w:ascii="Arial" w:eastAsia="Times New Roman" w:hAnsi="Arial" w:cs="Arial"/>
                <w:bCs/>
                <w:sz w:val="20"/>
                <w:szCs w:val="20"/>
              </w:rPr>
              <w:fldChar w:fldCharType="begin">
                <w:ffData>
                  <w:name w:val="Text3"/>
                  <w:enabled/>
                  <w:calcOnExit w:val="0"/>
                  <w:textInput/>
                </w:ffData>
              </w:fldChar>
            </w:r>
            <w:r w:rsidRPr="00432150">
              <w:rPr>
                <w:rFonts w:ascii="Arial" w:eastAsia="Times New Roman" w:hAnsi="Arial" w:cs="Arial"/>
                <w:bCs/>
                <w:sz w:val="20"/>
                <w:szCs w:val="20"/>
              </w:rPr>
              <w:instrText xml:space="preserve"> FORMTEXT </w:instrText>
            </w:r>
            <w:r w:rsidRPr="00432150">
              <w:rPr>
                <w:rFonts w:ascii="Arial" w:eastAsia="Times New Roman" w:hAnsi="Arial" w:cs="Arial"/>
                <w:bCs/>
                <w:sz w:val="20"/>
                <w:szCs w:val="20"/>
              </w:rPr>
            </w:r>
            <w:r w:rsidRPr="00432150">
              <w:rPr>
                <w:rFonts w:ascii="Arial" w:eastAsia="Times New Roman" w:hAnsi="Arial" w:cs="Arial"/>
                <w:bCs/>
                <w:sz w:val="20"/>
                <w:szCs w:val="20"/>
              </w:rPr>
              <w:fldChar w:fldCharType="separate"/>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noProof/>
                <w:sz w:val="20"/>
                <w:szCs w:val="20"/>
              </w:rPr>
              <w:t> </w:t>
            </w:r>
            <w:r w:rsidRPr="00432150">
              <w:rPr>
                <w:rFonts w:ascii="Arial" w:eastAsia="Times New Roman" w:hAnsi="Arial" w:cs="Arial"/>
                <w:bCs/>
                <w:sz w:val="20"/>
                <w:szCs w:val="20"/>
              </w:rPr>
              <w:fldChar w:fldCharType="end"/>
            </w:r>
          </w:p>
          <w:p w14:paraId="7E90E34D" w14:textId="77777777" w:rsidR="00432150" w:rsidRPr="00432150" w:rsidRDefault="00432150" w:rsidP="00432150">
            <w:pPr>
              <w:spacing w:before="600" w:after="120" w:line="240" w:lineRule="auto"/>
              <w:rPr>
                <w:rFonts w:ascii="Arial" w:eastAsia="Times New Roman" w:hAnsi="Arial" w:cs="Arial"/>
                <w:b/>
              </w:rPr>
            </w:pPr>
            <w:r w:rsidRPr="00432150">
              <w:rPr>
                <w:rFonts w:ascii="Arial" w:eastAsia="Times New Roman" w:hAnsi="Arial" w:cs="Arial"/>
                <w:b/>
              </w:rPr>
              <w:t xml:space="preserve">Signature:  </w:t>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r>
            <w:r w:rsidRPr="00432150">
              <w:rPr>
                <w:rFonts w:ascii="Arial" w:eastAsia="Times New Roman" w:hAnsi="Arial" w:cs="Arial"/>
                <w:b/>
              </w:rPr>
              <w:softHyphen/>
              <w:t>______________________________________</w:t>
            </w:r>
          </w:p>
          <w:p w14:paraId="176CED9F" w14:textId="77777777" w:rsidR="00432150" w:rsidRPr="00432150" w:rsidRDefault="00432150" w:rsidP="00432150">
            <w:pPr>
              <w:spacing w:before="120" w:after="120" w:line="240" w:lineRule="auto"/>
              <w:rPr>
                <w:rFonts w:ascii="Arial" w:eastAsia="Times New Roman" w:hAnsi="Arial" w:cs="Arial"/>
                <w:bCs/>
                <w:sz w:val="20"/>
                <w:szCs w:val="20"/>
              </w:rPr>
            </w:pPr>
          </w:p>
        </w:tc>
      </w:tr>
      <w:tr w:rsidR="00432150" w:rsidRPr="00432150" w14:paraId="080F7858" w14:textId="77777777" w:rsidTr="0043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8995" w:type="dxa"/>
        </w:trPr>
        <w:tc>
          <w:tcPr>
            <w:tcW w:w="450" w:type="dxa"/>
          </w:tcPr>
          <w:p w14:paraId="08177C7D" w14:textId="77777777" w:rsidR="00432150" w:rsidRPr="00432150" w:rsidRDefault="00432150" w:rsidP="00432150">
            <w:pPr>
              <w:spacing w:after="0" w:line="240" w:lineRule="auto"/>
              <w:rPr>
                <w:rFonts w:ascii="Times New Roman" w:eastAsia="Times New Roman" w:hAnsi="Times New Roman" w:cs="Times New Roman"/>
                <w:sz w:val="18"/>
                <w:szCs w:val="24"/>
              </w:rPr>
            </w:pPr>
          </w:p>
        </w:tc>
      </w:tr>
    </w:tbl>
    <w:p w14:paraId="703F357C" w14:textId="77777777" w:rsidR="00215DAB" w:rsidRDefault="00215DAB"/>
    <w:sectPr w:rsidR="00215DA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ABDF" w14:textId="77777777" w:rsidR="00432150" w:rsidRDefault="00432150" w:rsidP="00432150">
      <w:pPr>
        <w:spacing w:after="0" w:line="240" w:lineRule="auto"/>
      </w:pPr>
      <w:r>
        <w:separator/>
      </w:r>
    </w:p>
  </w:endnote>
  <w:endnote w:type="continuationSeparator" w:id="0">
    <w:p w14:paraId="3BB196C9" w14:textId="77777777" w:rsidR="00432150" w:rsidRDefault="00432150" w:rsidP="0043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6068"/>
      <w:docPartObj>
        <w:docPartGallery w:val="Page Numbers (Bottom of Page)"/>
        <w:docPartUnique/>
      </w:docPartObj>
    </w:sdtPr>
    <w:sdtEndPr>
      <w:rPr>
        <w:noProof/>
      </w:rPr>
    </w:sdtEndPr>
    <w:sdtContent>
      <w:p w14:paraId="423A9D4B" w14:textId="5CC8F6F2" w:rsidR="003C1FD7" w:rsidRDefault="003C1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84EEB" w14:textId="77777777" w:rsidR="003C1FD7" w:rsidRDefault="003C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E8C8" w14:textId="77777777" w:rsidR="00432150" w:rsidRDefault="00432150" w:rsidP="00432150">
      <w:pPr>
        <w:spacing w:after="0" w:line="240" w:lineRule="auto"/>
      </w:pPr>
      <w:r>
        <w:separator/>
      </w:r>
    </w:p>
  </w:footnote>
  <w:footnote w:type="continuationSeparator" w:id="0">
    <w:p w14:paraId="6F1A501E" w14:textId="77777777" w:rsidR="00432150" w:rsidRDefault="00432150" w:rsidP="0043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0B93" w14:textId="77777777" w:rsidR="00432150" w:rsidRPr="00432150" w:rsidRDefault="00432150" w:rsidP="00432150">
    <w:pPr>
      <w:spacing w:after="0" w:line="240" w:lineRule="auto"/>
      <w:jc w:val="center"/>
      <w:rPr>
        <w:rFonts w:ascii="Arial" w:eastAsia="Times New Roman" w:hAnsi="Arial" w:cs="Arial"/>
        <w:b/>
        <w:bCs/>
        <w:sz w:val="28"/>
        <w:szCs w:val="29"/>
      </w:rPr>
    </w:pPr>
    <w:r w:rsidRPr="00432150">
      <w:rPr>
        <w:rFonts w:ascii="Arial" w:eastAsia="Times New Roman" w:hAnsi="Arial" w:cs="Arial"/>
        <w:b/>
        <w:bCs/>
        <w:sz w:val="28"/>
        <w:szCs w:val="29"/>
      </w:rPr>
      <w:t>FLORIDA HURRICANE CATASTROPHE FUND</w:t>
    </w:r>
  </w:p>
  <w:p w14:paraId="3C36C831" w14:textId="27561A2E" w:rsidR="00432150" w:rsidRPr="00432150" w:rsidRDefault="00432150" w:rsidP="00432150">
    <w:pPr>
      <w:spacing w:after="0" w:line="240" w:lineRule="auto"/>
      <w:jc w:val="center"/>
      <w:rPr>
        <w:rFonts w:ascii="Arial" w:eastAsia="Times New Roman" w:hAnsi="Arial" w:cs="Arial"/>
        <w:b/>
        <w:bCs/>
        <w:sz w:val="28"/>
        <w:szCs w:val="29"/>
      </w:rPr>
    </w:pPr>
    <w:r w:rsidRPr="00432150">
      <w:rPr>
        <w:rFonts w:ascii="Arial" w:eastAsia="Times New Roman" w:hAnsi="Arial" w:cs="Arial"/>
        <w:b/>
        <w:bCs/>
        <w:sz w:val="28"/>
        <w:szCs w:val="29"/>
      </w:rPr>
      <w:t xml:space="preserve">CONTRACT YEAR 2018 COMMUTATION </w:t>
    </w:r>
    <w:r>
      <w:rPr>
        <w:rFonts w:ascii="Arial" w:eastAsia="Times New Roman" w:hAnsi="Arial" w:cs="Arial"/>
        <w:b/>
        <w:bCs/>
        <w:sz w:val="28"/>
        <w:szCs w:val="29"/>
      </w:rPr>
      <w:t xml:space="preserve">– ACTUARIAL </w:t>
    </w:r>
    <w:r w:rsidRPr="00432150">
      <w:rPr>
        <w:rFonts w:ascii="Arial" w:eastAsia="Times New Roman" w:hAnsi="Arial" w:cs="Arial"/>
        <w:b/>
        <w:bCs/>
        <w:sz w:val="28"/>
        <w:szCs w:val="29"/>
      </w:rPr>
      <w:t>CHECKLIST</w:t>
    </w:r>
  </w:p>
  <w:p w14:paraId="16488A45" w14:textId="77777777" w:rsidR="00432150" w:rsidRDefault="00432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64A"/>
    <w:multiLevelType w:val="hybridMultilevel"/>
    <w:tmpl w:val="CFD00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3360FF"/>
    <w:multiLevelType w:val="hybridMultilevel"/>
    <w:tmpl w:val="0DD8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1074F"/>
    <w:multiLevelType w:val="hybridMultilevel"/>
    <w:tmpl w:val="3BB29914"/>
    <w:lvl w:ilvl="0" w:tplc="04090003">
      <w:start w:val="1"/>
      <w:numFmt w:val="bullet"/>
      <w:lvlText w:val="o"/>
      <w:lvlJc w:val="left"/>
      <w:pPr>
        <w:ind w:left="1246" w:hanging="360"/>
      </w:pPr>
      <w:rPr>
        <w:rFonts w:ascii="Courier New" w:hAnsi="Courier New" w:cs="Courier New" w:hint="default"/>
      </w:rPr>
    </w:lvl>
    <w:lvl w:ilvl="1" w:tplc="FFFFFFFF" w:tentative="1">
      <w:start w:val="1"/>
      <w:numFmt w:val="lowerLetter"/>
      <w:lvlText w:val="%2."/>
      <w:lvlJc w:val="left"/>
      <w:pPr>
        <w:ind w:left="1966" w:hanging="360"/>
      </w:pPr>
    </w:lvl>
    <w:lvl w:ilvl="2" w:tplc="FFFFFFFF" w:tentative="1">
      <w:start w:val="1"/>
      <w:numFmt w:val="lowerRoman"/>
      <w:lvlText w:val="%3."/>
      <w:lvlJc w:val="right"/>
      <w:pPr>
        <w:ind w:left="2686" w:hanging="180"/>
      </w:pPr>
    </w:lvl>
    <w:lvl w:ilvl="3" w:tplc="FFFFFFFF" w:tentative="1">
      <w:start w:val="1"/>
      <w:numFmt w:val="decimal"/>
      <w:lvlText w:val="%4."/>
      <w:lvlJc w:val="left"/>
      <w:pPr>
        <w:ind w:left="3406" w:hanging="360"/>
      </w:pPr>
    </w:lvl>
    <w:lvl w:ilvl="4" w:tplc="FFFFFFFF" w:tentative="1">
      <w:start w:val="1"/>
      <w:numFmt w:val="lowerLetter"/>
      <w:lvlText w:val="%5."/>
      <w:lvlJc w:val="left"/>
      <w:pPr>
        <w:ind w:left="4126" w:hanging="360"/>
      </w:pPr>
    </w:lvl>
    <w:lvl w:ilvl="5" w:tplc="FFFFFFFF" w:tentative="1">
      <w:start w:val="1"/>
      <w:numFmt w:val="lowerRoman"/>
      <w:lvlText w:val="%6."/>
      <w:lvlJc w:val="right"/>
      <w:pPr>
        <w:ind w:left="4846" w:hanging="180"/>
      </w:pPr>
    </w:lvl>
    <w:lvl w:ilvl="6" w:tplc="FFFFFFFF" w:tentative="1">
      <w:start w:val="1"/>
      <w:numFmt w:val="decimal"/>
      <w:lvlText w:val="%7."/>
      <w:lvlJc w:val="left"/>
      <w:pPr>
        <w:ind w:left="5566" w:hanging="360"/>
      </w:pPr>
    </w:lvl>
    <w:lvl w:ilvl="7" w:tplc="FFFFFFFF" w:tentative="1">
      <w:start w:val="1"/>
      <w:numFmt w:val="lowerLetter"/>
      <w:lvlText w:val="%8."/>
      <w:lvlJc w:val="left"/>
      <w:pPr>
        <w:ind w:left="6286" w:hanging="360"/>
      </w:pPr>
    </w:lvl>
    <w:lvl w:ilvl="8" w:tplc="FFFFFFFF" w:tentative="1">
      <w:start w:val="1"/>
      <w:numFmt w:val="lowerRoman"/>
      <w:lvlText w:val="%9."/>
      <w:lvlJc w:val="right"/>
      <w:pPr>
        <w:ind w:left="7006" w:hanging="180"/>
      </w:pPr>
    </w:lvl>
  </w:abstractNum>
  <w:abstractNum w:abstractNumId="3" w15:restartNumberingAfterBreak="0">
    <w:nsid w:val="59722F5A"/>
    <w:multiLevelType w:val="hybridMultilevel"/>
    <w:tmpl w:val="94E808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730C6654"/>
    <w:multiLevelType w:val="hybridMultilevel"/>
    <w:tmpl w:val="DF9848DA"/>
    <w:lvl w:ilvl="0" w:tplc="D33C48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247404">
    <w:abstractNumId w:val="1"/>
  </w:num>
  <w:num w:numId="2" w16cid:durableId="1034185819">
    <w:abstractNumId w:val="3"/>
  </w:num>
  <w:num w:numId="3" w16cid:durableId="512493834">
    <w:abstractNumId w:val="0"/>
  </w:num>
  <w:num w:numId="4" w16cid:durableId="142164004">
    <w:abstractNumId w:val="4"/>
  </w:num>
  <w:num w:numId="5" w16cid:durableId="183136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50"/>
    <w:rsid w:val="001C4620"/>
    <w:rsid w:val="001D3984"/>
    <w:rsid w:val="001E1AF7"/>
    <w:rsid w:val="00215DAB"/>
    <w:rsid w:val="003A0832"/>
    <w:rsid w:val="003C1FD7"/>
    <w:rsid w:val="00432150"/>
    <w:rsid w:val="008C271B"/>
    <w:rsid w:val="008E30F8"/>
    <w:rsid w:val="00CE4BEA"/>
    <w:rsid w:val="00F3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E24D68"/>
  <w15:chartTrackingRefBased/>
  <w15:docId w15:val="{BE9B4646-0923-4DE9-A83F-86D9918C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32150"/>
    <w:rPr>
      <w:sz w:val="16"/>
      <w:szCs w:val="16"/>
    </w:rPr>
  </w:style>
  <w:style w:type="paragraph" w:styleId="CommentText">
    <w:name w:val="annotation text"/>
    <w:basedOn w:val="Normal"/>
    <w:link w:val="CommentTextChar"/>
    <w:rsid w:val="004321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3215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50"/>
  </w:style>
  <w:style w:type="paragraph" w:styleId="Footer">
    <w:name w:val="footer"/>
    <w:basedOn w:val="Normal"/>
    <w:link w:val="FooterChar"/>
    <w:uiPriority w:val="99"/>
    <w:unhideWhenUsed/>
    <w:rsid w:val="0043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50"/>
  </w:style>
  <w:style w:type="character" w:styleId="Hyperlink">
    <w:name w:val="Hyperlink"/>
    <w:rsid w:val="00432150"/>
    <w:rPr>
      <w:color w:val="0000FF"/>
      <w:u w:val="single"/>
    </w:rPr>
  </w:style>
  <w:style w:type="paragraph" w:styleId="z-TopofForm">
    <w:name w:val="HTML Top of Form"/>
    <w:basedOn w:val="Normal"/>
    <w:next w:val="Normal"/>
    <w:link w:val="z-TopofFormChar"/>
    <w:hidden/>
    <w:uiPriority w:val="99"/>
    <w:semiHidden/>
    <w:unhideWhenUsed/>
    <w:rsid w:val="003A08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08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08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0832"/>
    <w:rPr>
      <w:rFonts w:ascii="Arial" w:hAnsi="Arial" w:cs="Arial"/>
      <w:vanish/>
      <w:sz w:val="16"/>
      <w:szCs w:val="16"/>
    </w:rPr>
  </w:style>
  <w:style w:type="paragraph" w:styleId="Revision">
    <w:name w:val="Revision"/>
    <w:hidden/>
    <w:uiPriority w:val="99"/>
    <w:semiHidden/>
    <w:rsid w:val="00F34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CFAdministrator@paragon.aon.com" TargetMode="External"/><Relationship Id="rId13" Type="http://schemas.openxmlformats.org/officeDocument/2006/relationships/hyperlink" Target="http://fhcf.paragon.aonbenfield.com/contracts/2017/" TargetMode="Externa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s://fhcfclaims.paragon.aon.com/Claims/" TargetMode="Externa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Macilveen</dc:creator>
  <cp:keywords/>
  <dc:description/>
  <cp:lastModifiedBy>Melissa Macilveen</cp:lastModifiedBy>
  <cp:revision>5</cp:revision>
  <cp:lastPrinted>2023-12-12T20:57:00Z</cp:lastPrinted>
  <dcterms:created xsi:type="dcterms:W3CDTF">2024-01-22T02:43:00Z</dcterms:created>
  <dcterms:modified xsi:type="dcterms:W3CDTF">2024-01-22T19:54:00Z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43f10a-881e-4653-a55e-02ca2cc829dc_Enabled">
    <vt:lpwstr>true</vt:lpwstr>
  </property>
  <property fmtid="{D5CDD505-2E9C-101B-9397-08002B2CF9AE}" pid="3" name="MSIP_Label_9043f10a-881e-4653-a55e-02ca2cc829dc_SetDate">
    <vt:lpwstr>2024-01-19T19:10:14Z</vt:lpwstr>
  </property>
  <property fmtid="{D5CDD505-2E9C-101B-9397-08002B2CF9AE}" pid="4" name="MSIP_Label_9043f10a-881e-4653-a55e-02ca2cc829dc_Method">
    <vt:lpwstr>Standard</vt:lpwstr>
  </property>
  <property fmtid="{D5CDD505-2E9C-101B-9397-08002B2CF9AE}" pid="5" name="MSIP_Label_9043f10a-881e-4653-a55e-02ca2cc829dc_Name">
    <vt:lpwstr>ADC_class_200</vt:lpwstr>
  </property>
  <property fmtid="{D5CDD505-2E9C-101B-9397-08002B2CF9AE}" pid="6" name="MSIP_Label_9043f10a-881e-4653-a55e-02ca2cc829dc_SiteId">
    <vt:lpwstr>94cfddbc-0627-494a-ad7a-29aea3aea832</vt:lpwstr>
  </property>
  <property fmtid="{D5CDD505-2E9C-101B-9397-08002B2CF9AE}" pid="7" name="MSIP_Label_9043f10a-881e-4653-a55e-02ca2cc829dc_ActionId">
    <vt:lpwstr>ca79e3b3-b2e0-4cdd-9126-508e25af31bb</vt:lpwstr>
  </property>
  <property fmtid="{D5CDD505-2E9C-101B-9397-08002B2CF9AE}" pid="8" name="MSIP_Label_9043f10a-881e-4653-a55e-02ca2cc829dc_ContentBits">
    <vt:lpwstr>0</vt:lpwstr>
  </property>
</Properties>
</file>